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77" w:rsidRPr="00951ADA" w:rsidRDefault="00325877" w:rsidP="00652741">
      <w:pPr>
        <w:contextualSpacing/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bookmarkStart w:id="0" w:name="_GoBack"/>
      <w:bookmarkEnd w:id="0"/>
    </w:p>
    <w:p w:rsidR="00325877" w:rsidRPr="00FC524B" w:rsidRDefault="00325877" w:rsidP="00652741">
      <w:pPr>
        <w:contextualSpacing/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  <w:t>Introduction</w:t>
      </w:r>
    </w:p>
    <w:p w:rsidR="00325877" w:rsidRPr="00951ADA" w:rsidRDefault="00325877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230189" w:rsidRPr="00951ADA" w:rsidRDefault="00325877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The </w:t>
      </w:r>
      <w:r w:rsidR="00716CFB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Australian Accounting Standards Board (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AASB</w:t>
      </w:r>
      <w:r w:rsidR="00716CFB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)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716CFB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is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holding its </w:t>
      </w:r>
      <w:r w:rsidR="00B61332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next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Research Forum in November 2019</w:t>
      </w:r>
      <w:r w:rsidR="007B203A">
        <w:rPr>
          <w:rStyle w:val="FootnoteReference"/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footnoteReference w:id="1"/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. Expressions of 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nterest 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(EOIs)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are sought from academics to work with the AASB and members of </w:t>
      </w:r>
      <w:r w:rsidR="00716CFB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its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Academic Advisory Panel on research projects that will help the AASB meet its </w:t>
      </w:r>
      <w:hyperlink r:id="rId8" w:history="1">
        <w:r w:rsidRPr="00951ADA">
          <w:rPr>
            <w:rStyle w:val="Hyperlink"/>
            <w:rFonts w:asciiTheme="minorHAnsi" w:eastAsiaTheme="minorEastAsia" w:hAnsiTheme="minorHAnsi" w:cstheme="minorBidi"/>
            <w:kern w:val="24"/>
            <w:sz w:val="22"/>
            <w:szCs w:val="22"/>
            <w:lang w:eastAsia="en-AU"/>
          </w:rPr>
          <w:t>strategic objectives</w:t>
        </w:r>
      </w:hyperlink>
      <w:r w:rsidR="006C053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and enable academics to practically demonstrate the impact of their work</w:t>
      </w:r>
      <w:r w:rsidR="00716CFB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.</w:t>
      </w:r>
      <w:r w:rsidR="00EF3645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</w:p>
    <w:p w:rsidR="00716CFB" w:rsidRPr="00951ADA" w:rsidRDefault="00716CFB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716CFB" w:rsidRPr="00951ADA" w:rsidRDefault="00716CFB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The 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research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projects are </w:t>
      </w:r>
      <w:r w:rsidR="0083598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intended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to 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produce evidence-based conclusions that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will underpin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the AASB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’s thought leadership on financial reporting issues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at international forums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(</w:t>
      </w:r>
      <w:proofErr w:type="spellStart"/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ie</w:t>
      </w:r>
      <w:proofErr w:type="spellEnd"/>
      <w:r w:rsidR="00090E91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International Accounting Standards Board (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IASB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)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and International </w:t>
      </w:r>
      <w:proofErr w:type="gramStart"/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Public Sector</w:t>
      </w:r>
      <w:proofErr w:type="gramEnd"/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Accounting Standards Board (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IPSASB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)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meetings</w:t>
      </w:r>
      <w:r w:rsidR="008A04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)</w:t>
      </w:r>
      <w:r w:rsidR="002237F2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and determine approaches to Australian specific accounting and reporting standards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. </w:t>
      </w:r>
    </w:p>
    <w:p w:rsidR="00230189" w:rsidRPr="00951ADA" w:rsidRDefault="00230189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10200D" w:rsidRPr="00FC524B" w:rsidRDefault="0010200D" w:rsidP="00652741">
      <w:pPr>
        <w:contextualSpacing/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  <w:t>The research projects</w:t>
      </w:r>
    </w:p>
    <w:p w:rsidR="0010200D" w:rsidRPr="00951ADA" w:rsidRDefault="0010200D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10200D" w:rsidRPr="00951ADA" w:rsidRDefault="00325877" w:rsidP="00652741">
      <w:pPr>
        <w:spacing w:after="120"/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Research projects can be </w:t>
      </w:r>
      <w:proofErr w:type="gramStart"/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forward</w:t>
      </w:r>
      <w:r w:rsidR="00736CF8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-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looking, 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and</w:t>
      </w:r>
      <w:proofErr w:type="gramEnd"/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can 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either 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address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topics not yet on standard setters’ agendas, or provide input to 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issues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currently being discussed and reviewed. </w:t>
      </w:r>
    </w:p>
    <w:p w:rsidR="0010200D" w:rsidRPr="00951ADA" w:rsidRDefault="0010200D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325877" w:rsidRDefault="0010200D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R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esearch is required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for all sectors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(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for-profit,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not-for-profit </w:t>
      </w:r>
      <w:r w:rsidR="00325877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public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and private)</w:t>
      </w:r>
      <w:r w:rsidR="00736CF8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and</w:t>
      </w:r>
      <w:r w:rsidR="00736CF8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all 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entity </w:t>
      </w:r>
      <w:r w:rsidR="00736CF8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sizes.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Topics could include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–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but are not limited to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–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the following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(see over for full description)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:</w:t>
      </w:r>
    </w:p>
    <w:p w:rsidR="00914E33" w:rsidRPr="00951ADA" w:rsidRDefault="00914E33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10200D" w:rsidRPr="00FC524B" w:rsidRDefault="0010200D" w:rsidP="00FC524B">
      <w:pPr>
        <w:pStyle w:val="ListParagraph"/>
        <w:numPr>
          <w:ilvl w:val="0"/>
          <w:numId w:val="36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New areas of financial accounting and reporting</w:t>
      </w:r>
    </w:p>
    <w:p w:rsidR="0010200D" w:rsidRPr="00FC524B" w:rsidRDefault="0010200D" w:rsidP="00FC524B">
      <w:pPr>
        <w:pStyle w:val="ListParagraph"/>
        <w:numPr>
          <w:ilvl w:val="0"/>
          <w:numId w:val="36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Advances in systems and recording transactions</w:t>
      </w:r>
    </w:p>
    <w:p w:rsidR="0010200D" w:rsidRPr="00FC524B" w:rsidRDefault="0010200D" w:rsidP="00FC524B">
      <w:pPr>
        <w:pStyle w:val="ListParagraph"/>
        <w:numPr>
          <w:ilvl w:val="0"/>
          <w:numId w:val="36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The Australian Financial Reporting Framework</w:t>
      </w:r>
    </w:p>
    <w:p w:rsidR="006C053B" w:rsidRDefault="0010200D" w:rsidP="00FC524B">
      <w:pPr>
        <w:pStyle w:val="ListParagraph"/>
        <w:numPr>
          <w:ilvl w:val="0"/>
          <w:numId w:val="36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Current topics on standard setters’ agendas</w:t>
      </w:r>
    </w:p>
    <w:p w:rsidR="0010200D" w:rsidRPr="00FC524B" w:rsidRDefault="006C053B" w:rsidP="00FC524B">
      <w:pPr>
        <w:pStyle w:val="ListParagraph"/>
        <w:numPr>
          <w:ilvl w:val="0"/>
          <w:numId w:val="36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Post implementation reviews of new or existing standards</w:t>
      </w:r>
      <w:r w:rsidR="0010200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.</w:t>
      </w:r>
    </w:p>
    <w:p w:rsidR="00652741" w:rsidRDefault="00652741" w:rsidP="00652741">
      <w:pPr>
        <w:contextualSpacing/>
        <w:rPr>
          <w:rFonts w:asciiTheme="minorHAnsi" w:eastAsiaTheme="minorEastAsia" w:hAnsiTheme="minorHAnsi" w:cstheme="minorBidi"/>
          <w:b/>
          <w:kern w:val="24"/>
          <w:szCs w:val="22"/>
          <w:lang w:eastAsia="en-AU"/>
        </w:rPr>
      </w:pPr>
    </w:p>
    <w:p w:rsidR="0010200D" w:rsidRPr="00FC524B" w:rsidRDefault="00914E33" w:rsidP="00652741">
      <w:pPr>
        <w:contextualSpacing/>
        <w:rPr>
          <w:rFonts w:asciiTheme="minorHAnsi" w:eastAsiaTheme="minorEastAsia" w:hAnsiTheme="minorHAnsi" w:cstheme="minorBidi"/>
          <w:kern w:val="24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  <w:t>Submissions</w:t>
      </w:r>
    </w:p>
    <w:p w:rsidR="00951ADA" w:rsidRPr="00951ADA" w:rsidRDefault="00951ADA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736CF8" w:rsidRPr="00951ADA" w:rsidRDefault="00736CF8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Expression</w:t>
      </w:r>
      <w:r w:rsidR="002C0F07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s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of Interest should be a 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maximum of two pages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and </w:t>
      </w:r>
      <w:r w:rsidR="00951AD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should address the following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:</w:t>
      </w:r>
    </w:p>
    <w:p w:rsidR="00736CF8" w:rsidRPr="00951ADA" w:rsidRDefault="00736CF8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7655"/>
      </w:tblGrid>
      <w:tr w:rsidR="00951ADA" w:rsidRPr="00951ADA" w:rsidTr="00951ADA">
        <w:tc>
          <w:tcPr>
            <w:tcW w:w="42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7655" w:type="dxa"/>
          </w:tcPr>
          <w:p w:rsidR="00951ADA" w:rsidRPr="00951ADA" w:rsidRDefault="00951ADA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 xml:space="preserve">Project </w:t>
            </w:r>
            <w:r w:rsidR="00914E33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t</w:t>
            </w: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itle</w:t>
            </w:r>
          </w:p>
        </w:tc>
      </w:tr>
      <w:tr w:rsidR="00951ADA" w:rsidRPr="00951ADA" w:rsidTr="00951ADA">
        <w:tc>
          <w:tcPr>
            <w:tcW w:w="42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7655" w:type="dxa"/>
          </w:tcPr>
          <w:p w:rsidR="00951ADA" w:rsidRPr="00951ADA" w:rsidRDefault="00951ADA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 xml:space="preserve">Names of </w:t>
            </w:r>
            <w:r w:rsidR="00914E33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r</w:t>
            </w: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esearchers</w:t>
            </w:r>
            <w:r w:rsidR="00914E33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, institutions they represent</w:t>
            </w:r>
          </w:p>
        </w:tc>
      </w:tr>
      <w:tr w:rsidR="00951ADA" w:rsidRPr="00951ADA" w:rsidTr="00951ADA">
        <w:tc>
          <w:tcPr>
            <w:tcW w:w="42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7655" w:type="dxa"/>
          </w:tcPr>
          <w:p w:rsidR="00951ADA" w:rsidRPr="00951ADA" w:rsidRDefault="00951ADA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Summary of the proposed research</w:t>
            </w:r>
            <w:r w:rsidR="00914E33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 xml:space="preserve"> –</w:t>
            </w:r>
            <w:r w:rsidR="00914E33"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 xml:space="preserve"> </w:t>
            </w: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why is it important? (Maximum 200 words)</w:t>
            </w:r>
          </w:p>
        </w:tc>
      </w:tr>
      <w:tr w:rsidR="00951ADA" w:rsidRPr="00951ADA" w:rsidTr="00951ADA">
        <w:tc>
          <w:tcPr>
            <w:tcW w:w="42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765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Research method(s)</w:t>
            </w:r>
          </w:p>
        </w:tc>
      </w:tr>
      <w:tr w:rsidR="00951ADA" w:rsidRPr="00951ADA" w:rsidTr="00951ADA">
        <w:tc>
          <w:tcPr>
            <w:tcW w:w="42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765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Possible assistance required from the AASB (if relevant)</w:t>
            </w:r>
          </w:p>
        </w:tc>
      </w:tr>
      <w:tr w:rsidR="00951ADA" w:rsidRPr="00951ADA" w:rsidTr="00951ADA">
        <w:tc>
          <w:tcPr>
            <w:tcW w:w="42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7655" w:type="dxa"/>
          </w:tcPr>
          <w:p w:rsidR="00951ADA" w:rsidRPr="00951ADA" w:rsidRDefault="00951ADA" w:rsidP="00652741">
            <w:pPr>
              <w:contextualSpacing/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</w:pPr>
            <w:r w:rsidRPr="00951ADA">
              <w:rPr>
                <w:rFonts w:asciiTheme="minorHAnsi" w:eastAsiaTheme="minorEastAsia" w:hAnsiTheme="minorHAnsi" w:cstheme="minorBidi"/>
                <w:kern w:val="24"/>
                <w:sz w:val="22"/>
                <w:szCs w:val="22"/>
                <w:lang w:eastAsia="en-AU"/>
              </w:rPr>
              <w:t>The relevance of possible conclusions from the research to inform the AASB’s standard setting and its strategic objectives.</w:t>
            </w:r>
          </w:p>
        </w:tc>
      </w:tr>
    </w:tbl>
    <w:p w:rsidR="00736CF8" w:rsidRPr="00951ADA" w:rsidRDefault="00736CF8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2C0F07" w:rsidRPr="00951ADA" w:rsidRDefault="002C0F07" w:rsidP="002C0F07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Academics, either as a team or individually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are 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asked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to submit an EOI to AASB Research Director </w:t>
      </w:r>
      <w:hyperlink r:id="rId9" w:history="1">
        <w:r w:rsidRPr="00951ADA">
          <w:rPr>
            <w:rStyle w:val="Hyperlink"/>
            <w:rFonts w:asciiTheme="minorHAnsi" w:eastAsiaTheme="minorEastAsia" w:hAnsiTheme="minorHAnsi" w:cstheme="minorBidi"/>
            <w:kern w:val="24"/>
            <w:sz w:val="22"/>
            <w:szCs w:val="22"/>
            <w:lang w:eastAsia="en-AU"/>
          </w:rPr>
          <w:t>Christine Helliar</w:t>
        </w:r>
      </w:hyperlink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by 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Friday 22 June, 2018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.  </w:t>
      </w:r>
      <w:r w:rsidR="00C460F7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Successful applicants will be announced in early July at the AFAANZ conference.</w:t>
      </w:r>
    </w:p>
    <w:p w:rsidR="00652741" w:rsidRDefault="00652741" w:rsidP="00652741">
      <w:pPr>
        <w:rPr>
          <w:rFonts w:asciiTheme="minorHAnsi" w:eastAsiaTheme="minorEastAsia" w:hAnsiTheme="minorHAnsi" w:cstheme="minorBidi"/>
          <w:b/>
          <w:kern w:val="24"/>
          <w:szCs w:val="22"/>
          <w:lang w:eastAsia="en-AU"/>
        </w:rPr>
      </w:pPr>
      <w:r>
        <w:rPr>
          <w:rFonts w:asciiTheme="minorHAnsi" w:eastAsiaTheme="minorEastAsia" w:hAnsiTheme="minorHAnsi" w:cstheme="minorBidi"/>
          <w:b/>
          <w:kern w:val="24"/>
          <w:szCs w:val="22"/>
          <w:lang w:eastAsia="en-AU"/>
        </w:rPr>
        <w:br w:type="page"/>
      </w:r>
    </w:p>
    <w:p w:rsidR="00AF183A" w:rsidRPr="00FC524B" w:rsidRDefault="0083598A" w:rsidP="00652741">
      <w:pPr>
        <w:contextualSpacing/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  <w:lastRenderedPageBreak/>
        <w:t>Suggested topics</w:t>
      </w:r>
    </w:p>
    <w:p w:rsidR="00652741" w:rsidRPr="00951ADA" w:rsidRDefault="00652741" w:rsidP="00652741">
      <w:pPr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582BC2" w:rsidRPr="00951ADA" w:rsidRDefault="00582BC2" w:rsidP="00652741">
      <w:pPr>
        <w:pStyle w:val="ListParagraph"/>
        <w:numPr>
          <w:ilvl w:val="0"/>
          <w:numId w:val="17"/>
        </w:numPr>
        <w:ind w:left="360"/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hAnsiTheme="minorHAnsi"/>
          <w:b/>
          <w:sz w:val="22"/>
          <w:szCs w:val="22"/>
        </w:rPr>
        <w:t xml:space="preserve">New areas of financial </w:t>
      </w:r>
      <w:r w:rsidR="00B3620B" w:rsidRPr="00951ADA">
        <w:rPr>
          <w:rFonts w:asciiTheme="minorHAnsi" w:hAnsiTheme="minorHAnsi"/>
          <w:b/>
          <w:sz w:val="22"/>
          <w:szCs w:val="22"/>
        </w:rPr>
        <w:t>accounting and reporting</w:t>
      </w:r>
    </w:p>
    <w:p w:rsidR="00582BC2" w:rsidRPr="00951ADA" w:rsidRDefault="00582BC2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ED738F" w:rsidRPr="009E4FCC" w:rsidRDefault="00A47E26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 w:rsidRPr="00951ADA">
        <w:rPr>
          <w:rFonts w:asciiTheme="minorHAnsi" w:hAnsiTheme="minorHAnsi"/>
          <w:sz w:val="22"/>
          <w:szCs w:val="22"/>
        </w:rPr>
        <w:t>In 2017</w:t>
      </w:r>
      <w:r w:rsidR="00652741">
        <w:rPr>
          <w:rFonts w:asciiTheme="minorHAnsi" w:hAnsiTheme="minorHAnsi"/>
          <w:sz w:val="22"/>
          <w:szCs w:val="22"/>
        </w:rPr>
        <w:t>,</w:t>
      </w:r>
      <w:r w:rsidRPr="00951ADA">
        <w:rPr>
          <w:rFonts w:asciiTheme="minorHAnsi" w:hAnsiTheme="minorHAnsi"/>
          <w:sz w:val="22"/>
          <w:szCs w:val="22"/>
        </w:rPr>
        <w:t xml:space="preserve"> </w:t>
      </w:r>
      <w:r w:rsidR="00652741">
        <w:rPr>
          <w:rFonts w:asciiTheme="minorHAnsi" w:hAnsiTheme="minorHAnsi"/>
          <w:sz w:val="22"/>
          <w:szCs w:val="22"/>
        </w:rPr>
        <w:t>t</w:t>
      </w:r>
      <w:r w:rsidR="003D2F55" w:rsidRPr="00951ADA">
        <w:rPr>
          <w:rFonts w:asciiTheme="minorHAnsi" w:hAnsiTheme="minorHAnsi"/>
          <w:sz w:val="22"/>
          <w:szCs w:val="22"/>
        </w:rPr>
        <w:t xml:space="preserve">he Australian Government’s publication </w:t>
      </w:r>
      <w:hyperlink r:id="rId10" w:history="1">
        <w:r w:rsidR="003D2F55" w:rsidRPr="00652741">
          <w:rPr>
            <w:rStyle w:val="Hyperlink"/>
            <w:rFonts w:asciiTheme="minorHAnsi" w:hAnsiTheme="minorHAnsi"/>
            <w:i/>
            <w:sz w:val="22"/>
            <w:szCs w:val="22"/>
          </w:rPr>
          <w:t>Hidden in Plain Sight</w:t>
        </w:r>
      </w:hyperlink>
      <w:r w:rsidR="003D2F55" w:rsidRPr="00951ADA">
        <w:rPr>
          <w:rFonts w:asciiTheme="minorHAnsi" w:hAnsiTheme="minorHAnsi"/>
          <w:sz w:val="22"/>
          <w:szCs w:val="22"/>
        </w:rPr>
        <w:t xml:space="preserve"> </w:t>
      </w:r>
      <w:r w:rsidRPr="00951ADA">
        <w:rPr>
          <w:rFonts w:asciiTheme="minorHAnsi" w:hAnsiTheme="minorHAnsi"/>
          <w:sz w:val="22"/>
          <w:szCs w:val="22"/>
        </w:rPr>
        <w:t xml:space="preserve">outlined </w:t>
      </w:r>
      <w:r w:rsidRPr="009E4FCC">
        <w:rPr>
          <w:rFonts w:asciiTheme="minorHAnsi" w:hAnsiTheme="minorHAnsi"/>
          <w:sz w:val="22"/>
          <w:szCs w:val="22"/>
        </w:rPr>
        <w:t>“</w:t>
      </w:r>
      <w:r w:rsidRPr="00FC524B">
        <w:rPr>
          <w:rFonts w:asciiTheme="minorHAnsi" w:hAnsiTheme="minorHAnsi"/>
          <w:sz w:val="22"/>
          <w:szCs w:val="22"/>
        </w:rPr>
        <w:t>the Australian Government’s proposal to create a Modern Slavery in Supply Chains Reporting Requirement. This will require large corporations and other entities operating in Australia to publish annual statements outlining their actions to address this insidious crime</w:t>
      </w:r>
      <w:r w:rsidRPr="009E4FCC">
        <w:rPr>
          <w:rFonts w:asciiTheme="minorHAnsi" w:hAnsiTheme="minorHAnsi"/>
          <w:sz w:val="22"/>
          <w:szCs w:val="22"/>
        </w:rPr>
        <w:t>”.</w:t>
      </w:r>
      <w:r w:rsidR="00582BC2" w:rsidRPr="009E4FCC">
        <w:rPr>
          <w:rFonts w:asciiTheme="minorHAnsi" w:hAnsiTheme="minorHAnsi"/>
          <w:sz w:val="22"/>
          <w:szCs w:val="22"/>
        </w:rPr>
        <w:t xml:space="preserve"> </w:t>
      </w:r>
    </w:p>
    <w:p w:rsidR="00ED738F" w:rsidRDefault="00ED738F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ED738F" w:rsidRDefault="00ED738F" w:rsidP="00FC524B">
      <w:pPr>
        <w:ind w:left="709" w:hanging="425"/>
        <w:rPr>
          <w:rFonts w:asciiTheme="minorHAnsi" w:hAnsiTheme="minorHAnsi"/>
          <w:sz w:val="22"/>
          <w:szCs w:val="22"/>
        </w:rPr>
      </w:pPr>
      <w:r w:rsidRPr="000D7C9E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1.1</w:t>
      </w:r>
      <w:r w:rsidRPr="000D7C9E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ab/>
      </w:r>
      <w:r w:rsidR="003D2F55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If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Australian entities were </w:t>
      </w:r>
      <w:r w:rsidR="00582BC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required to publicly report information on their supply</w:t>
      </w:r>
      <w:r w:rsidR="00582BC2" w:rsidRPr="00FC524B">
        <w:rPr>
          <w:rFonts w:asciiTheme="minorHAnsi" w:hAnsiTheme="minorHAnsi"/>
          <w:b/>
          <w:sz w:val="22"/>
          <w:szCs w:val="22"/>
        </w:rPr>
        <w:t xml:space="preserve"> chains</w:t>
      </w:r>
      <w:r w:rsidR="00582BC2" w:rsidRPr="00FC524B">
        <w:rPr>
          <w:rFonts w:asciiTheme="minorHAnsi" w:hAnsiTheme="minorHAnsi"/>
          <w:sz w:val="22"/>
          <w:szCs w:val="22"/>
        </w:rPr>
        <w:t xml:space="preserve">, should </w:t>
      </w:r>
      <w:r>
        <w:rPr>
          <w:rFonts w:asciiTheme="minorHAnsi" w:hAnsiTheme="minorHAnsi"/>
          <w:sz w:val="22"/>
          <w:szCs w:val="22"/>
        </w:rPr>
        <w:t>it be:</w:t>
      </w:r>
    </w:p>
    <w:p w:rsidR="00ED738F" w:rsidRPr="00FC524B" w:rsidRDefault="00582BC2" w:rsidP="00FC524B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FC524B">
        <w:rPr>
          <w:rFonts w:asciiTheme="minorHAnsi" w:hAnsiTheme="minorHAnsi"/>
          <w:sz w:val="22"/>
          <w:szCs w:val="22"/>
        </w:rPr>
        <w:t>brought in to the focus of disclosure within Annual Reports</w:t>
      </w:r>
      <w:r w:rsidR="00D8055E" w:rsidRPr="00FC524B">
        <w:rPr>
          <w:rFonts w:asciiTheme="minorHAnsi" w:hAnsiTheme="minorHAnsi"/>
          <w:sz w:val="22"/>
          <w:szCs w:val="22"/>
        </w:rPr>
        <w:t xml:space="preserve"> or Financial Statements</w:t>
      </w:r>
    </w:p>
    <w:p w:rsidR="00ED738F" w:rsidRPr="00FC524B" w:rsidRDefault="00582BC2" w:rsidP="00FC524B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FC524B">
        <w:rPr>
          <w:rFonts w:asciiTheme="minorHAnsi" w:hAnsiTheme="minorHAnsi"/>
          <w:sz w:val="22"/>
          <w:szCs w:val="22"/>
        </w:rPr>
        <w:t xml:space="preserve">a separate report </w:t>
      </w:r>
      <w:r w:rsidR="00604D6F" w:rsidRPr="00FC524B">
        <w:rPr>
          <w:rFonts w:asciiTheme="minorHAnsi" w:hAnsiTheme="minorHAnsi"/>
          <w:sz w:val="22"/>
          <w:szCs w:val="22"/>
        </w:rPr>
        <w:t xml:space="preserve">as envisaged now, </w:t>
      </w:r>
      <w:r w:rsidRPr="00FC524B">
        <w:rPr>
          <w:rFonts w:asciiTheme="minorHAnsi" w:hAnsiTheme="minorHAnsi"/>
          <w:sz w:val="22"/>
          <w:szCs w:val="22"/>
        </w:rPr>
        <w:t xml:space="preserve">or </w:t>
      </w:r>
    </w:p>
    <w:p w:rsidR="00613947" w:rsidRPr="00613947" w:rsidRDefault="00613947" w:rsidP="00613947">
      <w:pPr>
        <w:pStyle w:val="ListParagraph"/>
        <w:numPr>
          <w:ilvl w:val="0"/>
          <w:numId w:val="26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613947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disclosed via alternative means such as 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through sustainability reports.</w:t>
      </w:r>
      <w:r w:rsidRPr="00613947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</w:p>
    <w:p w:rsidR="00AF183A" w:rsidRPr="00FC524B" w:rsidRDefault="00AF183A" w:rsidP="00613947">
      <w:pPr>
        <w:pStyle w:val="ListParagraph"/>
        <w:ind w:left="108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582BC2" w:rsidRPr="00951ADA" w:rsidRDefault="00582BC2" w:rsidP="009E4FCC">
      <w:p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ED738F" w:rsidRDefault="00ED738F" w:rsidP="00FC524B">
      <w:pPr>
        <w:pStyle w:val="ListParagraph"/>
        <w:ind w:left="284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1.2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ab/>
      </w:r>
      <w:r w:rsidR="00582BC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Looking further to the future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:</w:t>
      </w:r>
    </w:p>
    <w:p w:rsidR="00ED738F" w:rsidRPr="00FC524B" w:rsidRDefault="00ED738F" w:rsidP="00FC524B">
      <w:pPr>
        <w:pStyle w:val="ListParagraph"/>
        <w:numPr>
          <w:ilvl w:val="0"/>
          <w:numId w:val="27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</w:t>
      </w:r>
      <w:r w:rsidR="00582BC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re there other areas that governments may want </w:t>
      </w:r>
      <w:r w:rsidR="00EF3645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entities to </w:t>
      </w:r>
      <w:r w:rsidR="006C053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publicly </w:t>
      </w:r>
      <w:r w:rsidR="00EF3645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report on</w:t>
      </w:r>
      <w:r w:rsidR="00582BC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, and </w:t>
      </w:r>
      <w:r w:rsidR="00364B51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should these be within the remit</w:t>
      </w:r>
      <w:r w:rsidR="00582BC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of accounting standard setters? For example, there are water accounting standards, should there be </w:t>
      </w:r>
      <w:r w:rsidR="00582BC2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food/hunger</w:t>
      </w:r>
      <w:r w:rsidR="00582BC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accounting standards too?</w:t>
      </w:r>
    </w:p>
    <w:p w:rsidR="00ED738F" w:rsidRPr="00FC524B" w:rsidRDefault="00ED738F" w:rsidP="00FC524B">
      <w:pPr>
        <w:pStyle w:val="ListParagraph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</w:t>
      </w:r>
      <w:r w:rsidR="00B3620B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hat about accounting </w:t>
      </w:r>
      <w:r w:rsidR="00604D6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and reporting </w:t>
      </w:r>
      <w:r w:rsidR="00B3620B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for </w:t>
      </w:r>
      <w:r w:rsidR="00B3620B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natural resources</w:t>
      </w:r>
      <w:r w:rsidR="00285307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/</w:t>
      </w:r>
      <w:r w:rsidR="001A38C6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extracti</w:t>
      </w:r>
      <w:r w:rsidR="001A38C6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ve activities</w:t>
      </w:r>
      <w:r w:rsidR="00285307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/intangibles</w:t>
      </w:r>
      <w:r w:rsidR="00B3620B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?</w:t>
      </w:r>
      <w:r w:rsidR="003C5739" w:rsidRPr="00FC524B">
        <w:rPr>
          <w:rFonts w:asciiTheme="minorHAnsi" w:hAnsiTheme="minorHAnsi"/>
          <w:sz w:val="22"/>
          <w:szCs w:val="22"/>
        </w:rPr>
        <w:t xml:space="preserve"> </w:t>
      </w:r>
      <w:r w:rsidR="001A38C6">
        <w:rPr>
          <w:rFonts w:asciiTheme="minorHAnsi" w:hAnsiTheme="minorHAnsi"/>
          <w:sz w:val="22"/>
          <w:szCs w:val="22"/>
        </w:rPr>
        <w:t>Are these better dealt with in financial statements or in supporting information such as Management Commentary</w:t>
      </w:r>
      <w:r w:rsidR="00EF3645" w:rsidRPr="00FC524B">
        <w:rPr>
          <w:rFonts w:asciiTheme="minorHAnsi" w:hAnsiTheme="minorHAnsi"/>
          <w:sz w:val="22"/>
          <w:szCs w:val="22"/>
        </w:rPr>
        <w:t>?</w:t>
      </w:r>
      <w:r w:rsidR="00285307" w:rsidRPr="00FC524B">
        <w:rPr>
          <w:rFonts w:asciiTheme="minorHAnsi" w:hAnsiTheme="minorHAnsi"/>
          <w:sz w:val="22"/>
          <w:szCs w:val="22"/>
        </w:rPr>
        <w:t xml:space="preserve"> </w:t>
      </w:r>
    </w:p>
    <w:p w:rsidR="003C5739" w:rsidRPr="00951ADA" w:rsidRDefault="003C5739" w:rsidP="00FC524B">
      <w:pPr>
        <w:ind w:left="349"/>
        <w:rPr>
          <w:rFonts w:asciiTheme="minorHAnsi" w:hAnsiTheme="minorHAnsi"/>
          <w:sz w:val="22"/>
          <w:szCs w:val="22"/>
        </w:rPr>
      </w:pPr>
    </w:p>
    <w:p w:rsidR="00ED738F" w:rsidRDefault="00ED738F" w:rsidP="00FC524B">
      <w:pPr>
        <w:pStyle w:val="ListParagraph"/>
        <w:ind w:left="284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1.3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ab/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Looking forward f</w:t>
      </w:r>
      <w:r w:rsidR="003C5739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rom a</w:t>
      </w:r>
      <w:r w:rsidR="001A38C6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proofErr w:type="gramStart"/>
      <w:r w:rsidR="001A38C6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public sector</w:t>
      </w:r>
      <w:proofErr w:type="gramEnd"/>
      <w:r w:rsid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perspective</w:t>
      </w: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:</w:t>
      </w:r>
    </w:p>
    <w:p w:rsidR="00ED738F" w:rsidRPr="00FC524B" w:rsidRDefault="00ED738F" w:rsidP="00FC524B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H</w:t>
      </w:r>
      <w:r w:rsidR="003C5739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ow should we account for </w:t>
      </w:r>
      <w:r w:rsidR="003C5739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inter</w:t>
      </w:r>
      <w:r w:rsidR="00090E91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-</w:t>
      </w:r>
      <w:r w:rsidR="008C3AED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 and intra-</w:t>
      </w:r>
      <w:r w:rsidR="003C5739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generational</w:t>
      </w:r>
      <w:r w:rsidR="002F333A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 </w:t>
      </w:r>
      <w:r w:rsidR="008C3AED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transfers and </w:t>
      </w:r>
      <w:r w:rsidR="002F333A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reporting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285307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for example</w:t>
      </w:r>
      <w:r w:rsidR="00EF3645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the liability of the workers of tomorrow paying for the upkeep of the workers of today? </w:t>
      </w:r>
    </w:p>
    <w:p w:rsidR="00582BC2" w:rsidRPr="00FC524B" w:rsidRDefault="00ED738F" w:rsidP="00FC524B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ith the increase in entities as </w:t>
      </w:r>
      <w:r w:rsidR="003C5739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social enterprises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</w:t>
      </w:r>
      <w:r w:rsidR="003C5739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8C3AED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co-operatives and mutual entities</w:t>
      </w:r>
      <w:r w:rsidR="008C3AED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, </w:t>
      </w:r>
      <w:r w:rsidR="003C5739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how should they be treated for financial reporting p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urposes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– </w:t>
      </w:r>
      <w:r w:rsidR="002F33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are they for-profit or not-for-profit entities?</w:t>
      </w:r>
    </w:p>
    <w:p w:rsidR="003C5739" w:rsidRPr="00951ADA" w:rsidRDefault="003C5739" w:rsidP="00FC524B">
      <w:pPr>
        <w:ind w:left="349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8C3AED" w:rsidRPr="00FC524B" w:rsidRDefault="00ED738F" w:rsidP="00FC524B">
      <w:pPr>
        <w:pStyle w:val="ListParagraph"/>
        <w:ind w:left="284"/>
        <w:rPr>
          <w:rFonts w:asciiTheme="minorHAnsi" w:hAnsiTheme="minorHAnsi"/>
          <w:sz w:val="22"/>
          <w:szCs w:val="22"/>
        </w:rPr>
      </w:pPr>
      <w:r w:rsidRPr="000D7C9E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ab/>
      </w:r>
    </w:p>
    <w:p w:rsidR="00582BC2" w:rsidRPr="00951ADA" w:rsidRDefault="00582BC2" w:rsidP="00652741">
      <w:pPr>
        <w:pStyle w:val="ListParagraph"/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AF183A" w:rsidRPr="00951ADA" w:rsidRDefault="00582BC2" w:rsidP="00652741">
      <w:pPr>
        <w:pStyle w:val="ListParagraph"/>
        <w:numPr>
          <w:ilvl w:val="0"/>
          <w:numId w:val="17"/>
        </w:numPr>
        <w:ind w:left="360"/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Advances in systems and recording transactions</w:t>
      </w:r>
    </w:p>
    <w:p w:rsidR="00A6508B" w:rsidRPr="00951ADA" w:rsidRDefault="00A6508B" w:rsidP="00652741">
      <w:pPr>
        <w:ind w:firstLine="360"/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ED738F" w:rsidRDefault="00582BC2" w:rsidP="00652741">
      <w:pPr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Cryptocurrencies are currently a regular news item and t</w:t>
      </w:r>
      <w:r w:rsidR="00AF183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he </w:t>
      </w:r>
      <w:r w:rsidR="00ED738F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underpinning</w:t>
      </w:r>
      <w:r w:rsidR="001A38C6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AF183A"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blockchain</w:t>
      </w:r>
      <w:r w:rsidR="00AF183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technology is </w:t>
      </w:r>
      <w:r w:rsidR="00DB0F0F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facilitating the </w:t>
      </w:r>
      <w:r w:rsidR="00DB0F0F"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Internet of Things</w:t>
      </w:r>
      <w:r w:rsidR="00DB0F0F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(IoT) revolution and enabling the use of </w:t>
      </w:r>
      <w:r w:rsidR="00DB0F0F"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smart contracts</w:t>
      </w:r>
      <w:r w:rsidR="00DB0F0F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in business and consumer transactions. </w:t>
      </w:r>
    </w:p>
    <w:p w:rsidR="00ED738F" w:rsidRDefault="00ED738F" w:rsidP="00652741">
      <w:pPr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0D7C9E" w:rsidRPr="00FC524B" w:rsidRDefault="000D7C9E" w:rsidP="00FC524B">
      <w:pPr>
        <w:pStyle w:val="ListParagraph"/>
        <w:numPr>
          <w:ilvl w:val="1"/>
          <w:numId w:val="17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With m</w:t>
      </w:r>
      <w:r w:rsidR="00DB0F0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ore and more business carried out online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</w:t>
      </w:r>
      <w:r w:rsidR="00DB0F0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new ways of doing business may have a fundamental impact o</w:t>
      </w:r>
      <w:r w:rsidR="00ED738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n</w:t>
      </w:r>
      <w:r w:rsidR="00DB0F0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the way</w:t>
      </w:r>
      <w:r w:rsidR="00AF183A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financial accounting and reporting</w:t>
      </w:r>
      <w:r w:rsidR="00DB0F0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is recorded and processed, with the related assurance issues as well. </w:t>
      </w:r>
    </w:p>
    <w:p w:rsidR="00AF183A" w:rsidRPr="00FC524B" w:rsidRDefault="000D7C9E" w:rsidP="00FC524B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</w:t>
      </w:r>
      <w:r w:rsidR="00DB0F0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hat would need to change</w:t>
      </w:r>
      <w:r w:rsidR="002D1C9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 if anything,</w:t>
      </w:r>
      <w:r w:rsidR="00DB0F0F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in the current suite of accounting and disclosure standards to facilitate a transition to a new global business and transaction model?</w:t>
      </w:r>
    </w:p>
    <w:p w:rsidR="00A6508B" w:rsidRPr="00951ADA" w:rsidRDefault="00A6508B" w:rsidP="00652741">
      <w:pPr>
        <w:ind w:firstLine="360"/>
        <w:contextualSpacing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0D7C9E" w:rsidRPr="00FC524B" w:rsidRDefault="00DB0F0F" w:rsidP="00FC524B">
      <w:pPr>
        <w:pStyle w:val="ListParagraph"/>
        <w:numPr>
          <w:ilvl w:val="1"/>
          <w:numId w:val="17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Aligned to this is the availability of software such as </w:t>
      </w:r>
      <w:r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XBRL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that tags data and is used extensively by </w:t>
      </w:r>
      <w:r w:rsidR="00E95DF1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some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regulators across the globe as </w:t>
      </w:r>
      <w:r w:rsidR="002D1C9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major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users of financial information. </w:t>
      </w:r>
    </w:p>
    <w:p w:rsidR="000D7C9E" w:rsidRDefault="00C21AE4" w:rsidP="00FC524B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Why are </w:t>
      </w:r>
      <w:r w:rsidR="00E95DF1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some regulators and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other users such as investors not </w:t>
      </w:r>
      <w:r w:rsidR="000D7C9E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also</w:t>
      </w:r>
      <w:r w:rsidR="000D7C9E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2237F2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requiring/requesting entities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2237F2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to use</w:t>
      </w:r>
      <w:r w:rsidR="002237F2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this technology? </w:t>
      </w:r>
    </w:p>
    <w:p w:rsidR="000D7C9E" w:rsidRDefault="00C21AE4" w:rsidP="00FC524B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Is there something else that would enable users to more easily compare and analyse financial data and what would it look like? </w:t>
      </w:r>
    </w:p>
    <w:p w:rsidR="009369D1" w:rsidRPr="00FC524B" w:rsidRDefault="00C21AE4" w:rsidP="00FC524B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lastRenderedPageBreak/>
        <w:t xml:space="preserve">Are current </w:t>
      </w:r>
      <w:r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taxonom</w:t>
      </w:r>
      <w:r w:rsidR="000D7C9E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ies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useful and should there be something else to replace them?</w:t>
      </w:r>
    </w:p>
    <w:p w:rsidR="003D530C" w:rsidRPr="00951ADA" w:rsidRDefault="003D530C" w:rsidP="00652741">
      <w:pPr>
        <w:rPr>
          <w:rFonts w:asciiTheme="minorHAnsi" w:hAnsiTheme="minorHAnsi"/>
          <w:b/>
          <w:sz w:val="22"/>
          <w:szCs w:val="22"/>
        </w:rPr>
      </w:pPr>
    </w:p>
    <w:p w:rsidR="008E422F" w:rsidRPr="00951ADA" w:rsidRDefault="008E422F" w:rsidP="00652741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b/>
          <w:sz w:val="22"/>
          <w:szCs w:val="22"/>
        </w:rPr>
      </w:pPr>
      <w:r w:rsidRPr="00951ADA">
        <w:rPr>
          <w:rFonts w:asciiTheme="minorHAnsi" w:hAnsiTheme="minorHAnsi"/>
          <w:b/>
          <w:sz w:val="22"/>
          <w:szCs w:val="22"/>
        </w:rPr>
        <w:t>T</w:t>
      </w:r>
      <w:r w:rsidR="000D7C9E">
        <w:rPr>
          <w:rFonts w:asciiTheme="minorHAnsi" w:hAnsiTheme="minorHAnsi"/>
          <w:b/>
          <w:sz w:val="22"/>
          <w:szCs w:val="22"/>
        </w:rPr>
        <w:t>he</w:t>
      </w:r>
      <w:r w:rsidRPr="00951ADA">
        <w:rPr>
          <w:rFonts w:asciiTheme="minorHAnsi" w:hAnsiTheme="minorHAnsi"/>
          <w:b/>
          <w:sz w:val="22"/>
          <w:szCs w:val="22"/>
        </w:rPr>
        <w:t xml:space="preserve"> Australian Financial Reporting Framework</w:t>
      </w:r>
    </w:p>
    <w:p w:rsidR="000D7C9E" w:rsidRDefault="000D7C9E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0D7C9E" w:rsidRDefault="008E422F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 w:rsidRPr="00951ADA">
        <w:rPr>
          <w:rFonts w:asciiTheme="minorHAnsi" w:hAnsiTheme="minorHAnsi"/>
          <w:sz w:val="22"/>
          <w:szCs w:val="22"/>
        </w:rPr>
        <w:t xml:space="preserve">The AASB sets standards based on IFRS for public interest entities, but under transaction neutrality it also adds in </w:t>
      </w:r>
      <w:proofErr w:type="spellStart"/>
      <w:r w:rsidRPr="00951ADA">
        <w:rPr>
          <w:rFonts w:asciiTheme="minorHAnsi" w:hAnsiTheme="minorHAnsi"/>
          <w:sz w:val="22"/>
          <w:szCs w:val="22"/>
        </w:rPr>
        <w:t>Aus</w:t>
      </w:r>
      <w:proofErr w:type="spellEnd"/>
      <w:r w:rsidRPr="00951ADA">
        <w:rPr>
          <w:rFonts w:asciiTheme="minorHAnsi" w:hAnsiTheme="minorHAnsi"/>
          <w:sz w:val="22"/>
          <w:szCs w:val="22"/>
        </w:rPr>
        <w:t xml:space="preserve"> paragraphs for public sector and not-for-profit entities. In addition, Australia</w:t>
      </w:r>
      <w:r w:rsidR="000D7C9E">
        <w:rPr>
          <w:rFonts w:asciiTheme="minorHAnsi" w:hAnsiTheme="minorHAnsi"/>
          <w:sz w:val="22"/>
          <w:szCs w:val="22"/>
        </w:rPr>
        <w:t>n</w:t>
      </w:r>
      <w:r w:rsidRPr="00951ADA">
        <w:rPr>
          <w:rFonts w:asciiTheme="minorHAnsi" w:hAnsiTheme="minorHAnsi"/>
          <w:sz w:val="22"/>
          <w:szCs w:val="22"/>
        </w:rPr>
        <w:t>-specific standards are set such as AASB 1053</w:t>
      </w:r>
      <w:r w:rsidR="004E0881" w:rsidRPr="00951ADA">
        <w:rPr>
          <w:rFonts w:asciiTheme="minorHAnsi" w:hAnsiTheme="minorHAnsi"/>
          <w:sz w:val="22"/>
          <w:szCs w:val="22"/>
        </w:rPr>
        <w:t xml:space="preserve"> (as noted in the Appendix)</w:t>
      </w:r>
      <w:r w:rsidRPr="00951ADA">
        <w:rPr>
          <w:rFonts w:asciiTheme="minorHAnsi" w:hAnsiTheme="minorHAnsi"/>
          <w:sz w:val="22"/>
          <w:szCs w:val="22"/>
        </w:rPr>
        <w:t xml:space="preserve">. </w:t>
      </w:r>
    </w:p>
    <w:p w:rsidR="000D7C9E" w:rsidRDefault="000D7C9E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9E4FCC" w:rsidRDefault="00A11849" w:rsidP="009E4FCC">
      <w:pPr>
        <w:pStyle w:val="List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951ADA">
        <w:rPr>
          <w:rFonts w:asciiTheme="minorHAnsi" w:hAnsiTheme="minorHAnsi"/>
          <w:sz w:val="22"/>
          <w:szCs w:val="22"/>
        </w:rPr>
        <w:t>The IASB’s recently released</w:t>
      </w:r>
      <w:r w:rsidR="000D7C9E">
        <w:rPr>
          <w:rFonts w:asciiTheme="minorHAnsi" w:hAnsiTheme="minorHAnsi"/>
          <w:sz w:val="22"/>
          <w:szCs w:val="22"/>
        </w:rPr>
        <w:t xml:space="preserve"> revised</w:t>
      </w:r>
      <w:r w:rsidRPr="00951ADA">
        <w:rPr>
          <w:rFonts w:asciiTheme="minorHAnsi" w:hAnsiTheme="minorHAnsi"/>
          <w:sz w:val="22"/>
          <w:szCs w:val="22"/>
        </w:rPr>
        <w:t xml:space="preserve"> </w:t>
      </w:r>
      <w:r w:rsidRPr="00951ADA">
        <w:rPr>
          <w:rFonts w:asciiTheme="minorHAnsi" w:hAnsiTheme="minorHAnsi"/>
          <w:b/>
          <w:sz w:val="22"/>
          <w:szCs w:val="22"/>
        </w:rPr>
        <w:t>Conceptual Framework</w:t>
      </w:r>
      <w:r w:rsidRPr="00951ADA">
        <w:rPr>
          <w:rFonts w:asciiTheme="minorHAnsi" w:hAnsiTheme="minorHAnsi"/>
          <w:sz w:val="22"/>
          <w:szCs w:val="22"/>
        </w:rPr>
        <w:t xml:space="preserve"> will change the </w:t>
      </w:r>
      <w:r w:rsidRPr="00951ADA">
        <w:rPr>
          <w:rFonts w:asciiTheme="minorHAnsi" w:hAnsiTheme="minorHAnsi"/>
          <w:b/>
          <w:sz w:val="22"/>
          <w:szCs w:val="22"/>
        </w:rPr>
        <w:t>reporting entity concept</w:t>
      </w:r>
      <w:r w:rsidRPr="00951ADA">
        <w:rPr>
          <w:rFonts w:asciiTheme="minorHAnsi" w:hAnsiTheme="minorHAnsi"/>
          <w:sz w:val="22"/>
          <w:szCs w:val="22"/>
        </w:rPr>
        <w:t xml:space="preserve"> in Australia</w:t>
      </w:r>
      <w:r w:rsidR="000D7C9E">
        <w:rPr>
          <w:rFonts w:asciiTheme="minorHAnsi" w:hAnsiTheme="minorHAnsi"/>
          <w:sz w:val="22"/>
          <w:szCs w:val="22"/>
        </w:rPr>
        <w:t>.</w:t>
      </w:r>
      <w:r w:rsidRPr="00951ADA">
        <w:rPr>
          <w:rFonts w:asciiTheme="minorHAnsi" w:hAnsiTheme="minorHAnsi"/>
          <w:sz w:val="22"/>
          <w:szCs w:val="22"/>
        </w:rPr>
        <w:t xml:space="preserve"> </w:t>
      </w:r>
    </w:p>
    <w:p w:rsidR="009E4FCC" w:rsidRPr="009E4FCC" w:rsidRDefault="000D7C9E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C</w:t>
      </w:r>
      <w:r w:rsidR="00A11849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oupled with 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the increasing complexity of business structures and organisations, is there a demand for </w:t>
      </w:r>
      <w:r w:rsidR="00A11849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general purpose financial statements with 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different tiers of reporting for different sectors, types of organisations and size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?</w:t>
      </w:r>
      <w:r w:rsidR="00A11849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(</w:t>
      </w:r>
      <w:proofErr w:type="spellStart"/>
      <w:r w:rsidR="00613947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e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g</w:t>
      </w:r>
      <w:proofErr w:type="spellEnd"/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, New Zealand has 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four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t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iers of </w:t>
      </w:r>
      <w:r w:rsidR="008E422F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financial 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reporting 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with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some entities</w:t>
      </w:r>
      <w:r w:rsidR="008E422F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F25C28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able to</w:t>
      </w:r>
      <w:r w:rsidR="008E422F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use a cash basis of accounting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.</w:t>
      </w:r>
      <w:r w:rsidR="009E4FCC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)</w:t>
      </w:r>
      <w:r w:rsidR="00A6508B" w:rsidRP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</w:p>
    <w:p w:rsidR="009E4FCC" w:rsidRPr="009E4FCC" w:rsidRDefault="008E422F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proofErr w:type="gramStart"/>
      <w:r w:rsidRPr="009E4FCC">
        <w:rPr>
          <w:rFonts w:asciiTheme="minorHAnsi" w:hAnsiTheme="minorHAnsi"/>
          <w:sz w:val="22"/>
          <w:szCs w:val="22"/>
        </w:rPr>
        <w:t>So</w:t>
      </w:r>
      <w:proofErr w:type="gramEnd"/>
      <w:r w:rsidRPr="009E4FCC">
        <w:rPr>
          <w:rFonts w:asciiTheme="minorHAnsi" w:hAnsiTheme="minorHAnsi"/>
          <w:sz w:val="22"/>
          <w:szCs w:val="22"/>
        </w:rPr>
        <w:t xml:space="preserve"> what are the</w:t>
      </w:r>
      <w:r w:rsidR="00A6508B" w:rsidRPr="009E4FCC">
        <w:rPr>
          <w:rFonts w:asciiTheme="minorHAnsi" w:hAnsiTheme="minorHAnsi"/>
          <w:sz w:val="22"/>
          <w:szCs w:val="22"/>
        </w:rPr>
        <w:t xml:space="preserve"> costs and benefits of having </w:t>
      </w:r>
      <w:r w:rsidR="00A6508B" w:rsidRPr="009E4FCC">
        <w:rPr>
          <w:rFonts w:asciiTheme="minorHAnsi" w:hAnsiTheme="minorHAnsi"/>
          <w:b/>
          <w:sz w:val="22"/>
          <w:szCs w:val="22"/>
        </w:rPr>
        <w:t>more than one reporting framework</w:t>
      </w:r>
      <w:r w:rsidR="00A6508B" w:rsidRPr="009E4FCC">
        <w:rPr>
          <w:rFonts w:asciiTheme="minorHAnsi" w:hAnsiTheme="minorHAnsi"/>
          <w:sz w:val="22"/>
          <w:szCs w:val="22"/>
        </w:rPr>
        <w:t xml:space="preserve"> in a country</w:t>
      </w:r>
      <w:r w:rsidRPr="009E4FCC">
        <w:rPr>
          <w:rFonts w:asciiTheme="minorHAnsi" w:hAnsiTheme="minorHAnsi"/>
          <w:sz w:val="22"/>
          <w:szCs w:val="22"/>
        </w:rPr>
        <w:t>?</w:t>
      </w:r>
      <w:r w:rsidR="00A6508B" w:rsidRPr="009E4FCC">
        <w:rPr>
          <w:rFonts w:asciiTheme="minorHAnsi" w:hAnsiTheme="minorHAnsi"/>
          <w:sz w:val="22"/>
          <w:szCs w:val="22"/>
        </w:rPr>
        <w:t xml:space="preserve"> </w:t>
      </w:r>
      <w:r w:rsidR="009E4FCC" w:rsidRPr="009E4FCC">
        <w:rPr>
          <w:rFonts w:asciiTheme="minorHAnsi" w:hAnsiTheme="minorHAnsi"/>
          <w:sz w:val="22"/>
          <w:szCs w:val="22"/>
        </w:rPr>
        <w:t>(</w:t>
      </w:r>
      <w:proofErr w:type="spellStart"/>
      <w:r w:rsidR="00613947">
        <w:rPr>
          <w:rFonts w:asciiTheme="minorHAnsi" w:hAnsiTheme="minorHAnsi"/>
          <w:sz w:val="22"/>
          <w:szCs w:val="22"/>
        </w:rPr>
        <w:t>e</w:t>
      </w:r>
      <w:r w:rsidR="009E4FCC" w:rsidRPr="009E4FCC">
        <w:rPr>
          <w:rFonts w:asciiTheme="minorHAnsi" w:hAnsiTheme="minorHAnsi"/>
          <w:sz w:val="22"/>
          <w:szCs w:val="22"/>
        </w:rPr>
        <w:t>g</w:t>
      </w:r>
      <w:proofErr w:type="spellEnd"/>
      <w:r w:rsidR="009E4FCC" w:rsidRPr="009E4FCC">
        <w:rPr>
          <w:rFonts w:asciiTheme="minorHAnsi" w:hAnsiTheme="minorHAnsi"/>
          <w:sz w:val="22"/>
          <w:szCs w:val="22"/>
        </w:rPr>
        <w:t>,</w:t>
      </w:r>
      <w:r w:rsidR="00065416" w:rsidRPr="009E4FCC">
        <w:rPr>
          <w:rFonts w:asciiTheme="minorHAnsi" w:hAnsiTheme="minorHAnsi"/>
          <w:sz w:val="22"/>
          <w:szCs w:val="22"/>
        </w:rPr>
        <w:t xml:space="preserve"> Japan allows several reporting frameworks.</w:t>
      </w:r>
      <w:r w:rsidR="009E4FCC" w:rsidRPr="009E4FCC">
        <w:rPr>
          <w:rFonts w:asciiTheme="minorHAnsi" w:hAnsiTheme="minorHAnsi"/>
          <w:sz w:val="22"/>
          <w:szCs w:val="22"/>
        </w:rPr>
        <w:t>)</w:t>
      </w:r>
    </w:p>
    <w:p w:rsidR="009E4FCC" w:rsidRDefault="008E422F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 w:rsidRPr="009E4FCC">
        <w:rPr>
          <w:rFonts w:asciiTheme="minorHAnsi" w:hAnsiTheme="minorHAnsi"/>
          <w:sz w:val="22"/>
          <w:szCs w:val="22"/>
        </w:rPr>
        <w:t>W</w:t>
      </w:r>
      <w:r w:rsidR="00A6508B" w:rsidRPr="009E4FCC">
        <w:rPr>
          <w:rFonts w:asciiTheme="minorHAnsi" w:hAnsiTheme="minorHAnsi"/>
          <w:sz w:val="22"/>
          <w:szCs w:val="22"/>
        </w:rPr>
        <w:t xml:space="preserve">hat are the major </w:t>
      </w:r>
      <w:r w:rsidR="00A6508B" w:rsidRPr="009E4FCC">
        <w:rPr>
          <w:rFonts w:asciiTheme="minorHAnsi" w:hAnsiTheme="minorHAnsi"/>
          <w:b/>
          <w:sz w:val="22"/>
          <w:szCs w:val="22"/>
        </w:rPr>
        <w:t>barriers</w:t>
      </w:r>
      <w:r w:rsidR="00A6508B" w:rsidRPr="009E4FCC">
        <w:rPr>
          <w:rFonts w:asciiTheme="minorHAnsi" w:hAnsiTheme="minorHAnsi"/>
          <w:sz w:val="22"/>
          <w:szCs w:val="22"/>
        </w:rPr>
        <w:t xml:space="preserve"> to having different </w:t>
      </w:r>
      <w:r w:rsidR="009E4FCC">
        <w:rPr>
          <w:rFonts w:asciiTheme="minorHAnsi" w:hAnsiTheme="minorHAnsi"/>
          <w:sz w:val="22"/>
          <w:szCs w:val="22"/>
        </w:rPr>
        <w:t>t</w:t>
      </w:r>
      <w:r w:rsidR="00A6508B" w:rsidRPr="009E4FCC">
        <w:rPr>
          <w:rFonts w:asciiTheme="minorHAnsi" w:hAnsiTheme="minorHAnsi"/>
          <w:sz w:val="22"/>
          <w:szCs w:val="22"/>
        </w:rPr>
        <w:t>iers of reporting?</w:t>
      </w:r>
      <w:r w:rsidRPr="009E4FCC">
        <w:rPr>
          <w:rFonts w:asciiTheme="minorHAnsi" w:hAnsiTheme="minorHAnsi"/>
          <w:sz w:val="22"/>
          <w:szCs w:val="22"/>
        </w:rPr>
        <w:t xml:space="preserve"> </w:t>
      </w:r>
    </w:p>
    <w:p w:rsidR="009E4FCC" w:rsidRDefault="002D1C92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 w:rsidRPr="009E4FCC">
        <w:rPr>
          <w:rFonts w:asciiTheme="minorHAnsi" w:hAnsiTheme="minorHAnsi"/>
          <w:sz w:val="22"/>
          <w:szCs w:val="22"/>
        </w:rPr>
        <w:t xml:space="preserve">What </w:t>
      </w:r>
      <w:r w:rsidR="00613947">
        <w:rPr>
          <w:rFonts w:asciiTheme="minorHAnsi" w:hAnsiTheme="minorHAnsi"/>
          <w:sz w:val="22"/>
          <w:szCs w:val="22"/>
        </w:rPr>
        <w:t>are</w:t>
      </w:r>
      <w:r w:rsidRPr="009E4FCC">
        <w:rPr>
          <w:rFonts w:asciiTheme="minorHAnsi" w:hAnsiTheme="minorHAnsi"/>
          <w:sz w:val="22"/>
          <w:szCs w:val="22"/>
        </w:rPr>
        <w:t xml:space="preserve"> the </w:t>
      </w:r>
      <w:r w:rsidRPr="009E4FCC">
        <w:rPr>
          <w:rFonts w:asciiTheme="minorHAnsi" w:hAnsiTheme="minorHAnsi"/>
          <w:b/>
          <w:sz w:val="22"/>
          <w:szCs w:val="22"/>
        </w:rPr>
        <w:t>cost</w:t>
      </w:r>
      <w:r w:rsidR="00613947">
        <w:rPr>
          <w:rFonts w:asciiTheme="minorHAnsi" w:hAnsiTheme="minorHAnsi"/>
          <w:b/>
          <w:sz w:val="22"/>
          <w:szCs w:val="22"/>
        </w:rPr>
        <w:t>s</w:t>
      </w:r>
      <w:r w:rsidRPr="009E4FCC">
        <w:rPr>
          <w:rFonts w:asciiTheme="minorHAnsi" w:hAnsiTheme="minorHAnsi"/>
          <w:b/>
          <w:sz w:val="22"/>
          <w:szCs w:val="22"/>
        </w:rPr>
        <w:t xml:space="preserve"> of preparing</w:t>
      </w:r>
      <w:r w:rsidRPr="009E4FCC">
        <w:rPr>
          <w:rFonts w:asciiTheme="minorHAnsi" w:hAnsiTheme="minorHAnsi"/>
          <w:sz w:val="22"/>
          <w:szCs w:val="22"/>
        </w:rPr>
        <w:t xml:space="preserve"> financial reports by preparers, including all adjusting closing entries and staff time in the final close? </w:t>
      </w:r>
      <w:r w:rsidR="00613947">
        <w:rPr>
          <w:rFonts w:asciiTheme="minorHAnsi" w:hAnsiTheme="minorHAnsi"/>
          <w:sz w:val="22"/>
          <w:szCs w:val="22"/>
        </w:rPr>
        <w:t xml:space="preserve">Can this be proxied by </w:t>
      </w:r>
      <w:r w:rsidRPr="009E4FCC">
        <w:rPr>
          <w:rFonts w:asciiTheme="minorHAnsi" w:hAnsiTheme="minorHAnsi"/>
          <w:sz w:val="22"/>
          <w:szCs w:val="22"/>
        </w:rPr>
        <w:t xml:space="preserve">a multiple of the audit fee?  </w:t>
      </w:r>
    </w:p>
    <w:p w:rsidR="009E4FCC" w:rsidRDefault="008E422F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 w:rsidRPr="009E4FCC">
        <w:rPr>
          <w:rFonts w:asciiTheme="minorHAnsi" w:hAnsiTheme="minorHAnsi"/>
          <w:sz w:val="22"/>
          <w:szCs w:val="22"/>
        </w:rPr>
        <w:t xml:space="preserve">Is the term </w:t>
      </w:r>
      <w:r w:rsidRPr="009E4FCC">
        <w:rPr>
          <w:rFonts w:asciiTheme="minorHAnsi" w:hAnsiTheme="minorHAnsi"/>
          <w:b/>
          <w:sz w:val="22"/>
          <w:szCs w:val="22"/>
        </w:rPr>
        <w:t>not-for-profit en</w:t>
      </w:r>
      <w:r w:rsidR="00A6508B" w:rsidRPr="009E4FCC">
        <w:rPr>
          <w:rFonts w:asciiTheme="minorHAnsi" w:hAnsiTheme="minorHAnsi"/>
          <w:b/>
          <w:sz w:val="22"/>
          <w:szCs w:val="22"/>
        </w:rPr>
        <w:t>tity</w:t>
      </w:r>
      <w:r w:rsidR="00A6508B" w:rsidRPr="009E4FCC">
        <w:rPr>
          <w:rFonts w:asciiTheme="minorHAnsi" w:hAnsiTheme="minorHAnsi"/>
          <w:sz w:val="22"/>
          <w:szCs w:val="22"/>
        </w:rPr>
        <w:t xml:space="preserve"> or a </w:t>
      </w:r>
      <w:r w:rsidR="00A6508B" w:rsidRPr="009E4FCC">
        <w:rPr>
          <w:rFonts w:asciiTheme="minorHAnsi" w:hAnsiTheme="minorHAnsi"/>
          <w:b/>
          <w:sz w:val="22"/>
          <w:szCs w:val="22"/>
        </w:rPr>
        <w:t>public benefit entity</w:t>
      </w:r>
      <w:r w:rsidRPr="009E4FCC">
        <w:rPr>
          <w:rFonts w:asciiTheme="minorHAnsi" w:hAnsiTheme="minorHAnsi"/>
          <w:sz w:val="22"/>
          <w:szCs w:val="22"/>
        </w:rPr>
        <w:t xml:space="preserve"> well understood or is there confusion over what </w:t>
      </w:r>
      <w:proofErr w:type="gramStart"/>
      <w:r w:rsidR="00090E91" w:rsidRPr="009E4FCC">
        <w:rPr>
          <w:rFonts w:asciiTheme="minorHAnsi" w:hAnsiTheme="minorHAnsi"/>
          <w:sz w:val="22"/>
          <w:szCs w:val="22"/>
        </w:rPr>
        <w:t>th</w:t>
      </w:r>
      <w:r w:rsidR="00090E91">
        <w:rPr>
          <w:rFonts w:asciiTheme="minorHAnsi" w:hAnsiTheme="minorHAnsi"/>
          <w:sz w:val="22"/>
          <w:szCs w:val="22"/>
        </w:rPr>
        <w:t>ese</w:t>
      </w:r>
      <w:r w:rsidR="00090E91" w:rsidRPr="009E4FCC">
        <w:rPr>
          <w:rFonts w:asciiTheme="minorHAnsi" w:hAnsiTheme="minorHAnsi"/>
          <w:sz w:val="22"/>
          <w:szCs w:val="22"/>
        </w:rPr>
        <w:t xml:space="preserve"> </w:t>
      </w:r>
      <w:r w:rsidRPr="009E4FCC">
        <w:rPr>
          <w:rFonts w:asciiTheme="minorHAnsi" w:hAnsiTheme="minorHAnsi"/>
          <w:sz w:val="22"/>
          <w:szCs w:val="22"/>
        </w:rPr>
        <w:t>mean</w:t>
      </w:r>
      <w:proofErr w:type="gramEnd"/>
      <w:r w:rsidR="00A6508B" w:rsidRPr="009E4FCC">
        <w:rPr>
          <w:rFonts w:asciiTheme="minorHAnsi" w:hAnsiTheme="minorHAnsi"/>
          <w:sz w:val="22"/>
          <w:szCs w:val="22"/>
        </w:rPr>
        <w:t>?</w:t>
      </w:r>
      <w:r w:rsidRPr="009E4FCC">
        <w:rPr>
          <w:rFonts w:asciiTheme="minorHAnsi" w:hAnsiTheme="minorHAnsi"/>
          <w:sz w:val="22"/>
          <w:szCs w:val="22"/>
        </w:rPr>
        <w:t xml:space="preserve"> </w:t>
      </w:r>
    </w:p>
    <w:p w:rsidR="009E4FCC" w:rsidRDefault="00FC524B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237F2">
        <w:rPr>
          <w:rFonts w:asciiTheme="minorHAnsi" w:hAnsiTheme="minorHAnsi"/>
          <w:sz w:val="22"/>
          <w:szCs w:val="22"/>
        </w:rPr>
        <w:t xml:space="preserve">o the benefits of using </w:t>
      </w:r>
      <w:r w:rsidR="00065416" w:rsidRPr="009E4FCC">
        <w:rPr>
          <w:rFonts w:asciiTheme="minorHAnsi" w:hAnsiTheme="minorHAnsi"/>
          <w:b/>
          <w:sz w:val="22"/>
          <w:szCs w:val="22"/>
        </w:rPr>
        <w:t>fair-value</w:t>
      </w:r>
      <w:r w:rsidR="00065416" w:rsidRPr="009E4FCC">
        <w:rPr>
          <w:rFonts w:asciiTheme="minorHAnsi" w:hAnsiTheme="minorHAnsi"/>
          <w:sz w:val="22"/>
          <w:szCs w:val="22"/>
        </w:rPr>
        <w:t xml:space="preserve"> in the public sector </w:t>
      </w:r>
      <w:r w:rsidR="002237F2">
        <w:rPr>
          <w:rFonts w:asciiTheme="minorHAnsi" w:hAnsiTheme="minorHAnsi"/>
          <w:sz w:val="22"/>
          <w:szCs w:val="22"/>
        </w:rPr>
        <w:t>outweigh the costs</w:t>
      </w:r>
      <w:r w:rsidR="009E4FCC">
        <w:rPr>
          <w:rFonts w:asciiTheme="minorHAnsi" w:hAnsiTheme="minorHAnsi"/>
          <w:sz w:val="22"/>
          <w:szCs w:val="22"/>
        </w:rPr>
        <w:t>?</w:t>
      </w:r>
      <w:r w:rsidR="00065416" w:rsidRPr="009E4FCC">
        <w:rPr>
          <w:rFonts w:asciiTheme="minorHAnsi" w:hAnsiTheme="minorHAnsi"/>
          <w:sz w:val="22"/>
          <w:szCs w:val="22"/>
        </w:rPr>
        <w:t xml:space="preserve"> </w:t>
      </w:r>
      <w:r w:rsidR="009E4FCC">
        <w:rPr>
          <w:rFonts w:asciiTheme="minorHAnsi" w:hAnsiTheme="minorHAnsi"/>
          <w:sz w:val="22"/>
          <w:szCs w:val="22"/>
        </w:rPr>
        <w:t>(U</w:t>
      </w:r>
      <w:r w:rsidR="00065416" w:rsidRPr="009E4FCC">
        <w:rPr>
          <w:rFonts w:asciiTheme="minorHAnsi" w:hAnsiTheme="minorHAnsi"/>
          <w:sz w:val="22"/>
          <w:szCs w:val="22"/>
        </w:rPr>
        <w:t xml:space="preserve">nder </w:t>
      </w:r>
      <w:r w:rsidR="00065416" w:rsidRPr="009E4FCC">
        <w:rPr>
          <w:rFonts w:asciiTheme="minorHAnsi" w:hAnsiTheme="minorHAnsi"/>
          <w:b/>
          <w:sz w:val="22"/>
          <w:szCs w:val="22"/>
        </w:rPr>
        <w:t xml:space="preserve">GFS </w:t>
      </w:r>
      <w:r w:rsidR="00065416" w:rsidRPr="009E4FCC">
        <w:rPr>
          <w:rFonts w:asciiTheme="minorHAnsi" w:hAnsiTheme="minorHAnsi"/>
          <w:sz w:val="22"/>
          <w:szCs w:val="22"/>
        </w:rPr>
        <w:t>market value is used</w:t>
      </w:r>
      <w:r w:rsidR="009E4FCC">
        <w:rPr>
          <w:rFonts w:asciiTheme="minorHAnsi" w:hAnsiTheme="minorHAnsi"/>
          <w:sz w:val="22"/>
          <w:szCs w:val="22"/>
        </w:rPr>
        <w:t xml:space="preserve">) </w:t>
      </w:r>
    </w:p>
    <w:p w:rsidR="002237F2" w:rsidRDefault="002237F2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has been the impact of AASB 1049 </w:t>
      </w:r>
      <w:r w:rsidRPr="00FC524B">
        <w:rPr>
          <w:rFonts w:asciiTheme="minorHAnsi" w:hAnsiTheme="minorHAnsi"/>
          <w:i/>
          <w:sz w:val="22"/>
          <w:szCs w:val="22"/>
        </w:rPr>
        <w:t>Whole of Government and General Government Sector Financial Reporting</w:t>
      </w:r>
      <w:r>
        <w:rPr>
          <w:rFonts w:asciiTheme="minorHAnsi" w:hAnsiTheme="minorHAnsi"/>
          <w:sz w:val="22"/>
          <w:szCs w:val="22"/>
        </w:rPr>
        <w:t>?  Have the benefits outweighed the costs?</w:t>
      </w:r>
    </w:p>
    <w:p w:rsidR="009E4FCC" w:rsidRDefault="009E4FCC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065416" w:rsidRPr="009E4FCC">
        <w:rPr>
          <w:rFonts w:asciiTheme="minorHAnsi" w:hAnsiTheme="minorHAnsi"/>
          <w:sz w:val="22"/>
          <w:szCs w:val="22"/>
        </w:rPr>
        <w:t xml:space="preserve">ow do the market value </w:t>
      </w:r>
      <w:r w:rsidR="00613947">
        <w:rPr>
          <w:rFonts w:asciiTheme="minorHAnsi" w:hAnsiTheme="minorHAnsi"/>
          <w:sz w:val="22"/>
          <w:szCs w:val="22"/>
        </w:rPr>
        <w:t>and</w:t>
      </w:r>
      <w:r w:rsidR="00065416" w:rsidRPr="009E4FCC">
        <w:rPr>
          <w:rFonts w:asciiTheme="minorHAnsi" w:hAnsiTheme="minorHAnsi"/>
          <w:sz w:val="22"/>
          <w:szCs w:val="22"/>
        </w:rPr>
        <w:t xml:space="preserve"> fair value differ</w:t>
      </w:r>
      <w:r w:rsidR="00B61332">
        <w:rPr>
          <w:rFonts w:asciiTheme="minorHAnsi" w:hAnsiTheme="minorHAnsi"/>
          <w:sz w:val="22"/>
          <w:szCs w:val="22"/>
        </w:rPr>
        <w:t>?</w:t>
      </w:r>
      <w:r w:rsidR="00065416" w:rsidRPr="009E4FCC">
        <w:rPr>
          <w:rFonts w:asciiTheme="minorHAnsi" w:hAnsiTheme="minorHAnsi"/>
          <w:sz w:val="22"/>
          <w:szCs w:val="22"/>
        </w:rPr>
        <w:t xml:space="preserve"> </w:t>
      </w:r>
      <w:r w:rsidR="00B61332">
        <w:rPr>
          <w:rFonts w:asciiTheme="minorHAnsi" w:hAnsiTheme="minorHAnsi"/>
          <w:sz w:val="22"/>
          <w:szCs w:val="22"/>
        </w:rPr>
        <w:t>H</w:t>
      </w:r>
      <w:r w:rsidR="00065416" w:rsidRPr="009E4FCC">
        <w:rPr>
          <w:rFonts w:asciiTheme="minorHAnsi" w:hAnsiTheme="minorHAnsi"/>
          <w:sz w:val="22"/>
          <w:szCs w:val="22"/>
        </w:rPr>
        <w:t>ow should</w:t>
      </w:r>
      <w:r w:rsidR="00B61332">
        <w:rPr>
          <w:rFonts w:asciiTheme="minorHAnsi" w:hAnsiTheme="minorHAnsi"/>
          <w:sz w:val="22"/>
          <w:szCs w:val="22"/>
        </w:rPr>
        <w:t xml:space="preserve"> each</w:t>
      </w:r>
      <w:r w:rsidR="00065416" w:rsidRPr="009E4FCC">
        <w:rPr>
          <w:rFonts w:asciiTheme="minorHAnsi" w:hAnsiTheme="minorHAnsi"/>
          <w:sz w:val="22"/>
          <w:szCs w:val="22"/>
        </w:rPr>
        <w:t xml:space="preserve"> be measured, value in use/ current replacement cost, highest and best use, and what about impairment? </w:t>
      </w:r>
    </w:p>
    <w:p w:rsidR="008C3AED" w:rsidRPr="009E4FCC" w:rsidRDefault="008C3AED" w:rsidP="009E4FCC">
      <w:pPr>
        <w:pStyle w:val="ListParagraph"/>
        <w:numPr>
          <w:ilvl w:val="1"/>
          <w:numId w:val="31"/>
        </w:numPr>
        <w:ind w:left="1134"/>
        <w:rPr>
          <w:rFonts w:asciiTheme="minorHAnsi" w:hAnsiTheme="minorHAnsi"/>
          <w:sz w:val="22"/>
          <w:szCs w:val="22"/>
        </w:rPr>
      </w:pPr>
      <w:r w:rsidRPr="009E4FCC">
        <w:rPr>
          <w:rFonts w:asciiTheme="minorHAnsi" w:hAnsiTheme="minorHAnsi"/>
          <w:sz w:val="22"/>
          <w:szCs w:val="22"/>
        </w:rPr>
        <w:t xml:space="preserve">Is there too much </w:t>
      </w:r>
      <w:r w:rsidRPr="009E4FCC">
        <w:rPr>
          <w:rFonts w:asciiTheme="minorHAnsi" w:hAnsiTheme="minorHAnsi"/>
          <w:b/>
          <w:sz w:val="22"/>
          <w:szCs w:val="22"/>
        </w:rPr>
        <w:t>duplication of reporting</w:t>
      </w:r>
      <w:r w:rsidRPr="009E4FCC">
        <w:rPr>
          <w:rFonts w:asciiTheme="minorHAnsi" w:hAnsiTheme="minorHAnsi"/>
          <w:sz w:val="22"/>
          <w:szCs w:val="22"/>
        </w:rPr>
        <w:t xml:space="preserve"> at</w:t>
      </w:r>
      <w:r w:rsidR="00B61332">
        <w:rPr>
          <w:rFonts w:asciiTheme="minorHAnsi" w:hAnsiTheme="minorHAnsi"/>
          <w:sz w:val="22"/>
          <w:szCs w:val="22"/>
        </w:rPr>
        <w:t xml:space="preserve"> both the</w:t>
      </w:r>
      <w:r w:rsidRPr="009E4FCC">
        <w:rPr>
          <w:rFonts w:asciiTheme="minorHAnsi" w:hAnsiTheme="minorHAnsi"/>
          <w:sz w:val="22"/>
          <w:szCs w:val="22"/>
        </w:rPr>
        <w:t xml:space="preserve"> individual entity level</w:t>
      </w:r>
      <w:r w:rsidR="00B61332">
        <w:rPr>
          <w:rFonts w:asciiTheme="minorHAnsi" w:hAnsiTheme="minorHAnsi"/>
          <w:sz w:val="22"/>
          <w:szCs w:val="22"/>
        </w:rPr>
        <w:t xml:space="preserve"> and at</w:t>
      </w:r>
      <w:r w:rsidRPr="009E4FCC">
        <w:rPr>
          <w:rFonts w:asciiTheme="minorHAnsi" w:hAnsiTheme="minorHAnsi"/>
          <w:sz w:val="22"/>
          <w:szCs w:val="22"/>
        </w:rPr>
        <w:t xml:space="preserve"> consolidated level and </w:t>
      </w:r>
      <w:r w:rsidR="00B61332">
        <w:rPr>
          <w:rFonts w:asciiTheme="minorHAnsi" w:hAnsiTheme="minorHAnsi"/>
          <w:sz w:val="22"/>
          <w:szCs w:val="22"/>
        </w:rPr>
        <w:t xml:space="preserve">is this particularly a problem in the public sector with individual entities reporting and </w:t>
      </w:r>
      <w:r w:rsidRPr="009E4FCC">
        <w:rPr>
          <w:rFonts w:asciiTheme="minorHAnsi" w:hAnsiTheme="minorHAnsi"/>
          <w:sz w:val="22"/>
          <w:szCs w:val="22"/>
        </w:rPr>
        <w:t xml:space="preserve">whole of government </w:t>
      </w:r>
      <w:r w:rsidR="00B61332">
        <w:rPr>
          <w:rFonts w:asciiTheme="minorHAnsi" w:hAnsiTheme="minorHAnsi"/>
          <w:sz w:val="22"/>
          <w:szCs w:val="22"/>
        </w:rPr>
        <w:t>reporting</w:t>
      </w:r>
      <w:r w:rsidRPr="009E4FCC">
        <w:rPr>
          <w:rFonts w:asciiTheme="minorHAnsi" w:hAnsiTheme="minorHAnsi"/>
          <w:sz w:val="22"/>
          <w:szCs w:val="22"/>
        </w:rPr>
        <w:t>?</w:t>
      </w:r>
    </w:p>
    <w:p w:rsidR="00A6508B" w:rsidRPr="00951ADA" w:rsidRDefault="00A6508B" w:rsidP="00652741">
      <w:pPr>
        <w:pStyle w:val="ListParagraph"/>
        <w:rPr>
          <w:rFonts w:asciiTheme="minorHAnsi" w:hAnsiTheme="minorHAnsi"/>
          <w:sz w:val="22"/>
          <w:szCs w:val="22"/>
        </w:rPr>
      </w:pPr>
    </w:p>
    <w:p w:rsidR="00604D6F" w:rsidRPr="00951ADA" w:rsidRDefault="00604D6F" w:rsidP="00652741">
      <w:pPr>
        <w:pStyle w:val="ListParagraph"/>
        <w:numPr>
          <w:ilvl w:val="0"/>
          <w:numId w:val="17"/>
        </w:numPr>
        <w:ind w:left="360"/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Current</w:t>
      </w:r>
      <w:r w:rsidR="00682B4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 standard setters’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 topics/</w:t>
      </w:r>
      <w:r w:rsidR="00682B4A"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post-implementation-reviews</w:t>
      </w:r>
      <w:r w:rsidR="00682B4A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</w:p>
    <w:p w:rsidR="00682B4A" w:rsidRDefault="00682B4A" w:rsidP="00652741">
      <w:pPr>
        <w:pStyle w:val="ListParagraph"/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604D6F" w:rsidRPr="00FC524B" w:rsidRDefault="00604D6F" w:rsidP="00FC524B">
      <w:pPr>
        <w:pStyle w:val="ListParagraph"/>
        <w:numPr>
          <w:ilvl w:val="1"/>
          <w:numId w:val="17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The AASB, IASB and IPSASB currently have a number of </w:t>
      </w:r>
      <w:r w:rsidR="00D8055E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ongoing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projects </w:t>
      </w:r>
      <w:r w:rsidR="00914E33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for </w:t>
      </w:r>
      <w:r w:rsidR="00D8055E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which r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esearch </w:t>
      </w:r>
      <w:r w:rsidR="00D8055E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would be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useful. For example:</w:t>
      </w:r>
    </w:p>
    <w:p w:rsidR="00604D6F" w:rsidRPr="00951ADA" w:rsidRDefault="00BC3B48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The </w:t>
      </w:r>
      <w:r w:rsidR="00604D6F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disclosure and reporting required of different types of tax and effective tax rates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under the 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tax transparency code</w:t>
      </w:r>
    </w:p>
    <w:p w:rsidR="00BC3B48" w:rsidRPr="00951ADA" w:rsidRDefault="00BC3B48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Long</w:t>
      </w:r>
      <w:r w:rsidR="009E4FCC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-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term discount rates</w:t>
      </w:r>
    </w:p>
    <w:p w:rsidR="00723536" w:rsidRPr="00951ADA" w:rsidRDefault="00723536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Dynamic </w:t>
      </w:r>
      <w:r w:rsidR="009E4FCC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r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isk management</w:t>
      </w:r>
    </w:p>
    <w:p w:rsidR="00604D6F" w:rsidRPr="00951ADA" w:rsidRDefault="00BC3B48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Definition of</w:t>
      </w:r>
      <w:r w:rsidR="00604D6F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 </w:t>
      </w:r>
      <w:r w:rsidR="00604D6F"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social benefit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and the related accounting and reporting</w:t>
      </w:r>
    </w:p>
    <w:p w:rsidR="00BC3B48" w:rsidRPr="00951ADA" w:rsidRDefault="00BC3B48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Service performance</w:t>
      </w:r>
      <w:r w:rsidR="00723536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i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nformation and reporting</w:t>
      </w:r>
    </w:p>
    <w:p w:rsidR="00723536" w:rsidRPr="00951ADA" w:rsidRDefault="00723536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Exchange and non-exchange revenue </w:t>
      </w:r>
      <w:r w:rsidR="008C3AED"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and expenses</w:t>
      </w:r>
    </w:p>
    <w:p w:rsidR="00BC3B48" w:rsidRPr="00B61332" w:rsidRDefault="00040B2E" w:rsidP="00B61332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B61332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Remuneration reporting</w:t>
      </w:r>
    </w:p>
    <w:p w:rsidR="00040B2E" w:rsidRPr="00951ADA" w:rsidRDefault="008C3AED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Rate-regulated activities</w:t>
      </w:r>
    </w:p>
    <w:p w:rsidR="008C3AED" w:rsidRPr="00951ADA" w:rsidRDefault="008C3AED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Disclosure</w:t>
      </w:r>
    </w:p>
    <w:p w:rsidR="008C3AED" w:rsidRPr="00951ADA" w:rsidRDefault="008C3AED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Commodity loans and related transactions</w:t>
      </w:r>
    </w:p>
    <w:p w:rsidR="008C3AED" w:rsidRPr="00951ADA" w:rsidRDefault="008C3AED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Goodwill and impairment</w:t>
      </w:r>
    </w:p>
    <w:p w:rsidR="008C3AED" w:rsidRPr="00951ADA" w:rsidRDefault="008C3AED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Primary </w:t>
      </w:r>
      <w:r w:rsidR="009E4FCC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f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inancial statements</w:t>
      </w:r>
      <w:r w:rsidR="00B61332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: improving the statement of performance; issues of aggregation and disaggregation</w:t>
      </w:r>
    </w:p>
    <w:p w:rsidR="008C3AED" w:rsidRPr="00951ADA" w:rsidRDefault="008C3AED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 xml:space="preserve">Financial </w:t>
      </w:r>
      <w:r w:rsidR="009E4FCC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</w:t>
      </w: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nstruments with characteristics of equity</w:t>
      </w:r>
    </w:p>
    <w:p w:rsidR="00A11849" w:rsidRPr="00951ADA" w:rsidRDefault="00A11849" w:rsidP="00FC524B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Infrastructure and heritage assets</w:t>
      </w:r>
    </w:p>
    <w:p w:rsidR="00A11849" w:rsidRPr="00951ADA" w:rsidRDefault="00A11849" w:rsidP="00652741">
      <w:pPr>
        <w:pStyle w:val="ListParagraph"/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604D6F" w:rsidRPr="00FC524B" w:rsidRDefault="00604D6F" w:rsidP="00FC524B">
      <w:pPr>
        <w:pStyle w:val="ListParagraph"/>
        <w:numPr>
          <w:ilvl w:val="1"/>
          <w:numId w:val="17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Further, </w:t>
      </w:r>
      <w:r w:rsid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the following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new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standards have been issued</w:t>
      </w:r>
      <w:r w:rsidR="009E4FCC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in Australia recently with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  <w:r w:rsidR="009E4FCC" w:rsidRPr="00FC524B">
        <w:rPr>
          <w:rFonts w:asciiTheme="minorHAnsi" w:eastAsiaTheme="minorEastAsia" w:hAnsiTheme="minorHAnsi" w:cstheme="minorBidi"/>
          <w:b/>
          <w:kern w:val="24"/>
          <w:sz w:val="22"/>
          <w:szCs w:val="22"/>
          <w:lang w:eastAsia="en-AU"/>
        </w:rPr>
        <w:t>post-implementation-reviews</w:t>
      </w:r>
      <w:r w:rsidR="009E4FCC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to be undertaken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in </w:t>
      </w:r>
      <w:r w:rsidR="00E95DF1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several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years</w:t>
      </w:r>
      <w:r w:rsidR="009E4FCC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’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time. Input into the costs</w:t>
      </w:r>
      <w:r w:rsidR="009E4FCC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,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benefits and </w:t>
      </w:r>
      <w:r w:rsidR="009E4FCC"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issues </w:t>
      </w:r>
      <w:r w:rsidRPr="00FC524B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experienced by preparers and users would be timely.</w:t>
      </w:r>
    </w:p>
    <w:p w:rsidR="003C5739" w:rsidRPr="00951ADA" w:rsidRDefault="003C5739" w:rsidP="00FC524B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15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Revenue from Contracts with Customers</w:t>
      </w:r>
    </w:p>
    <w:p w:rsidR="003C5739" w:rsidRPr="00951ADA" w:rsidRDefault="003C5739" w:rsidP="00FC524B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16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Leases</w:t>
      </w:r>
    </w:p>
    <w:p w:rsidR="003C5739" w:rsidRPr="00951ADA" w:rsidRDefault="003C5739" w:rsidP="00FC524B">
      <w:pPr>
        <w:pStyle w:val="ListParagraph"/>
        <w:numPr>
          <w:ilvl w:val="0"/>
          <w:numId w:val="33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17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Insurance Contracts</w:t>
      </w:r>
    </w:p>
    <w:p w:rsidR="003C5739" w:rsidRPr="00951ADA" w:rsidRDefault="003C5739" w:rsidP="00652741">
      <w:pPr>
        <w:pStyle w:val="ListParagraph"/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4E0881" w:rsidRPr="00FC524B" w:rsidRDefault="004E0881" w:rsidP="00FC524B">
      <w:pPr>
        <w:contextualSpacing/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</w:pPr>
      <w:r w:rsidRPr="00FC524B">
        <w:rPr>
          <w:rFonts w:asciiTheme="minorHAnsi" w:eastAsiaTheme="minorEastAsia" w:hAnsiTheme="minorHAnsi" w:cstheme="minorBidi"/>
          <w:b/>
          <w:kern w:val="24"/>
          <w:sz w:val="28"/>
          <w:szCs w:val="22"/>
          <w:lang w:eastAsia="en-AU"/>
        </w:rPr>
        <w:t>Appendix: Australian specific standards</w:t>
      </w:r>
    </w:p>
    <w:p w:rsidR="004E0881" w:rsidRPr="00951ADA" w:rsidRDefault="004E0881" w:rsidP="00652741">
      <w:pPr>
        <w:pStyle w:val="ListParagraph"/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3C5739" w:rsidRPr="00951ADA" w:rsidRDefault="003C5739" w:rsidP="00B45883">
      <w:pPr>
        <w:pStyle w:val="ListParagraph"/>
        <w:ind w:left="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Australian</w:t>
      </w:r>
      <w:r w:rsidR="009E4FCC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-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specific standards </w:t>
      </w:r>
      <w:r w:rsidR="00DC31D5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for the public sector and not-for-profit sector 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>are:</w:t>
      </w:r>
    </w:p>
    <w:p w:rsidR="00BC3B48" w:rsidRPr="00951ADA" w:rsidRDefault="00BC3B48" w:rsidP="00FC524B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1049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Whole of Government and General Government Sector financial reporting</w:t>
      </w:r>
    </w:p>
    <w:p w:rsidR="003C5739" w:rsidRPr="00951ADA" w:rsidRDefault="003C5739" w:rsidP="00FC524B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1056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Superannuation Entities</w:t>
      </w: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</w:p>
    <w:p w:rsidR="003C5739" w:rsidRPr="00951ADA" w:rsidRDefault="003C5739" w:rsidP="00FC524B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1058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Income of Not-for-Profit Entities</w:t>
      </w:r>
    </w:p>
    <w:p w:rsidR="00604D6F" w:rsidRPr="00951ADA" w:rsidRDefault="003C5739" w:rsidP="00FC524B">
      <w:pPr>
        <w:pStyle w:val="ListParagraph"/>
        <w:numPr>
          <w:ilvl w:val="0"/>
          <w:numId w:val="34"/>
        </w:numPr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  <w:r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AASB 1059 </w:t>
      </w:r>
      <w:r w:rsidRPr="00FC524B">
        <w:rPr>
          <w:rFonts w:asciiTheme="minorHAnsi" w:eastAsiaTheme="minorEastAsia" w:hAnsiTheme="minorHAnsi" w:cstheme="minorBidi"/>
          <w:i/>
          <w:kern w:val="24"/>
          <w:sz w:val="22"/>
          <w:szCs w:val="22"/>
          <w:lang w:eastAsia="en-AU"/>
        </w:rPr>
        <w:t>Service Concession Arrangements: Grantors</w:t>
      </w:r>
      <w:r w:rsidR="008C3AED" w:rsidRPr="00951ADA"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  <w:t xml:space="preserve"> </w:t>
      </w:r>
    </w:p>
    <w:p w:rsidR="00604D6F" w:rsidRPr="00951ADA" w:rsidRDefault="00604D6F" w:rsidP="00652741">
      <w:pPr>
        <w:pStyle w:val="ListParagraph"/>
        <w:ind w:left="360"/>
        <w:rPr>
          <w:rFonts w:asciiTheme="minorHAnsi" w:eastAsiaTheme="minorEastAsia" w:hAnsiTheme="minorHAnsi" w:cstheme="minorBidi"/>
          <w:kern w:val="24"/>
          <w:sz w:val="22"/>
          <w:szCs w:val="22"/>
          <w:lang w:eastAsia="en-AU"/>
        </w:rPr>
      </w:pPr>
    </w:p>
    <w:p w:rsidR="009369D1" w:rsidRPr="00951ADA" w:rsidRDefault="009369D1" w:rsidP="00652741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604D6F" w:rsidRPr="00951ADA" w:rsidRDefault="00604D6F" w:rsidP="00652741">
      <w:pPr>
        <w:rPr>
          <w:rFonts w:asciiTheme="minorHAnsi" w:hAnsiTheme="minorHAnsi"/>
          <w:b/>
          <w:sz w:val="22"/>
          <w:szCs w:val="22"/>
        </w:rPr>
      </w:pPr>
    </w:p>
    <w:p w:rsidR="002C0F07" w:rsidRDefault="00D04DAE" w:rsidP="006527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604D6F" w:rsidRPr="00951ADA" w:rsidRDefault="002C0F07" w:rsidP="006527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Visit </w:t>
      </w:r>
      <w:hyperlink r:id="rId11" w:history="1">
        <w:r w:rsidRPr="002C0F07">
          <w:rPr>
            <w:rStyle w:val="Hyperlink"/>
            <w:rFonts w:asciiTheme="minorHAnsi" w:hAnsiTheme="minorHAnsi"/>
            <w:b/>
            <w:sz w:val="22"/>
            <w:szCs w:val="22"/>
          </w:rPr>
          <w:t>the AASB website</w:t>
        </w:r>
      </w:hyperlink>
      <w:r>
        <w:rPr>
          <w:rFonts w:asciiTheme="minorHAnsi" w:hAnsiTheme="minorHAnsi"/>
          <w:b/>
          <w:sz w:val="22"/>
          <w:szCs w:val="22"/>
        </w:rPr>
        <w:t xml:space="preserve"> for further information on the AASB’s Research Centre and </w:t>
      </w:r>
      <w:hyperlink r:id="rId12" w:history="1">
        <w:r w:rsidRPr="002C0F07">
          <w:rPr>
            <w:rStyle w:val="Hyperlink"/>
            <w:rFonts w:asciiTheme="minorHAnsi" w:hAnsiTheme="minorHAnsi"/>
            <w:b/>
            <w:sz w:val="22"/>
            <w:szCs w:val="22"/>
          </w:rPr>
          <w:t>past AASB Research Forums</w:t>
        </w:r>
      </w:hyperlink>
      <w:r>
        <w:rPr>
          <w:rFonts w:asciiTheme="minorHAnsi" w:hAnsiTheme="minorHAnsi"/>
          <w:b/>
          <w:sz w:val="22"/>
          <w:szCs w:val="22"/>
        </w:rPr>
        <w:t>.</w:t>
      </w:r>
    </w:p>
    <w:sectPr w:rsidR="00604D6F" w:rsidRPr="00951ADA" w:rsidSect="00FC524B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134" w:right="1275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AE" w:rsidRDefault="00D04DAE">
      <w:r>
        <w:separator/>
      </w:r>
    </w:p>
  </w:endnote>
  <w:endnote w:type="continuationSeparator" w:id="0">
    <w:p w:rsidR="00D04DAE" w:rsidRDefault="00D0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32" w:rsidRPr="00691554" w:rsidRDefault="00B61332" w:rsidP="0069155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B203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AE" w:rsidRDefault="00D04DAE">
      <w:r>
        <w:separator/>
      </w:r>
    </w:p>
  </w:footnote>
  <w:footnote w:type="continuationSeparator" w:id="0">
    <w:p w:rsidR="00D04DAE" w:rsidRDefault="00D04DAE">
      <w:r>
        <w:continuationSeparator/>
      </w:r>
    </w:p>
  </w:footnote>
  <w:footnote w:id="1">
    <w:p w:rsidR="007B203A" w:rsidRDefault="007B203A">
      <w:pPr>
        <w:pStyle w:val="FootnoteText"/>
      </w:pPr>
      <w:r>
        <w:rPr>
          <w:rStyle w:val="FootnoteReference"/>
        </w:rPr>
        <w:footnoteRef/>
      </w:r>
      <w:r>
        <w:t xml:space="preserve"> The IASB will be holding its Research Forum in Sydney in November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32" w:rsidRDefault="00B613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1E87DC1A" wp14:editId="5D13A13E">
          <wp:simplePos x="0" y="0"/>
          <wp:positionH relativeFrom="page">
            <wp:posOffset>137160</wp:posOffset>
          </wp:positionH>
          <wp:positionV relativeFrom="page">
            <wp:posOffset>133350</wp:posOffset>
          </wp:positionV>
          <wp:extent cx="2313432" cy="512064"/>
          <wp:effectExtent l="0" t="0" r="0" b="2540"/>
          <wp:wrapNone/>
          <wp:docPr id="73" name="AASBLogo" descr="Australian crest, with text naming the Australian Government and the Australian Accounting Standards Board" title="Logo of the Australian Accounting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SB_inlinestrip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432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32" w:rsidRDefault="00B61332">
    <w:pPr>
      <w:pStyle w:val="Header"/>
    </w:pPr>
  </w:p>
  <w:p w:rsidR="00B61332" w:rsidRDefault="00B613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0" locked="1" layoutInCell="1" allowOverlap="1" wp14:anchorId="12C23FF5" wp14:editId="411C5F63">
          <wp:simplePos x="0" y="0"/>
          <wp:positionH relativeFrom="page">
            <wp:posOffset>137160</wp:posOffset>
          </wp:positionH>
          <wp:positionV relativeFrom="page">
            <wp:posOffset>133350</wp:posOffset>
          </wp:positionV>
          <wp:extent cx="2313432" cy="512064"/>
          <wp:effectExtent l="0" t="0" r="0" b="2540"/>
          <wp:wrapNone/>
          <wp:docPr id="74" name="AASBLogo" descr="Australian crest, with text naming the Australian Government and the Australian Accounting Standards Board" title="Logo of the Australian Accounting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SB_inlinestrip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432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32" w:rsidRPr="00FC524B" w:rsidRDefault="00B61332" w:rsidP="00B45883">
    <w:pPr>
      <w:spacing w:before="100" w:beforeAutospacing="1" w:after="120"/>
      <w:ind w:left="5245" w:right="-285"/>
      <w:contextualSpacing/>
      <w:rPr>
        <w:rFonts w:asciiTheme="minorHAnsi" w:eastAsiaTheme="minorEastAsia" w:hAnsiTheme="minorHAnsi" w:cstheme="minorBidi"/>
        <w:b/>
        <w:color w:val="00375A"/>
        <w:kern w:val="24"/>
        <w:sz w:val="32"/>
        <w:szCs w:val="22"/>
        <w:lang w:eastAsia="en-AU"/>
      </w:rPr>
    </w:pPr>
    <w:r w:rsidRPr="00FC524B">
      <w:rPr>
        <w:rFonts w:asciiTheme="minorHAnsi" w:eastAsiaTheme="minorEastAsia" w:hAnsiTheme="minorHAnsi" w:cstheme="minorBidi"/>
        <w:b/>
        <w:color w:val="00375A"/>
        <w:kern w:val="24"/>
        <w:sz w:val="32"/>
        <w:szCs w:val="22"/>
        <w:lang w:eastAsia="en-AU"/>
      </w:rPr>
      <w:t>AASB Research Forum 2019</w:t>
    </w:r>
  </w:p>
  <w:p w:rsidR="00B61332" w:rsidRPr="00FC524B" w:rsidRDefault="00B61332" w:rsidP="00B45883">
    <w:pPr>
      <w:spacing w:before="100" w:beforeAutospacing="1" w:after="120"/>
      <w:ind w:left="5245" w:right="-285"/>
      <w:contextualSpacing/>
      <w:rPr>
        <w:rFonts w:asciiTheme="minorHAnsi" w:eastAsiaTheme="minorEastAsia" w:hAnsiTheme="minorHAnsi" w:cstheme="minorBidi"/>
        <w:b/>
        <w:i/>
        <w:color w:val="00375A"/>
        <w:kern w:val="24"/>
        <w:sz w:val="28"/>
        <w:szCs w:val="22"/>
        <w:lang w:eastAsia="en-AU"/>
      </w:rPr>
    </w:pPr>
    <w:r w:rsidRPr="00FC524B">
      <w:rPr>
        <w:rFonts w:asciiTheme="minorHAnsi" w:eastAsiaTheme="minorEastAsia" w:hAnsiTheme="minorHAnsi" w:cstheme="minorBidi"/>
        <w:b/>
        <w:i/>
        <w:color w:val="00375A"/>
        <w:kern w:val="24"/>
        <w:sz w:val="28"/>
        <w:szCs w:val="22"/>
        <w:lang w:eastAsia="en-AU"/>
      </w:rPr>
      <w:t>– Call for Expressions of Interest</w:t>
    </w:r>
  </w:p>
  <w:p w:rsidR="00B61332" w:rsidRDefault="00B613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6499A0DA" wp14:editId="74BCC8D9">
          <wp:simplePos x="0" y="0"/>
          <wp:positionH relativeFrom="page">
            <wp:posOffset>137160</wp:posOffset>
          </wp:positionH>
          <wp:positionV relativeFrom="page">
            <wp:posOffset>133350</wp:posOffset>
          </wp:positionV>
          <wp:extent cx="2313432" cy="512064"/>
          <wp:effectExtent l="0" t="0" r="0" b="2540"/>
          <wp:wrapNone/>
          <wp:docPr id="75" name="AASBLogo" descr="Australian crest, with text naming the Australian Government and the Australian Accounting Standards Board" title="Logo of the Australian Accounting Standards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SB_inlinestrip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432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80A"/>
    <w:multiLevelType w:val="hybridMultilevel"/>
    <w:tmpl w:val="EA2AEA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5D1"/>
    <w:multiLevelType w:val="multilevel"/>
    <w:tmpl w:val="07EE96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4D04792"/>
    <w:multiLevelType w:val="multilevel"/>
    <w:tmpl w:val="24B8349A"/>
    <w:styleLink w:val="AASBBullets"/>
    <w:lvl w:ilvl="0">
      <w:start w:val="1"/>
      <w:numFmt w:val="bullet"/>
      <w:pStyle w:val="Bullet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ind w:left="1418" w:hanging="709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"/>
      <w:lvlJc w:val="left"/>
      <w:pPr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3" w15:restartNumberingAfterBreak="0">
    <w:nsid w:val="051D5EDC"/>
    <w:multiLevelType w:val="multilevel"/>
    <w:tmpl w:val="D27ED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6213BE"/>
    <w:multiLevelType w:val="hybridMultilevel"/>
    <w:tmpl w:val="1B60AA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86078"/>
    <w:multiLevelType w:val="singleLevel"/>
    <w:tmpl w:val="F38E3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626071"/>
    <w:multiLevelType w:val="hybridMultilevel"/>
    <w:tmpl w:val="406A8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5C2"/>
    <w:multiLevelType w:val="multilevel"/>
    <w:tmpl w:val="BE1E3BBE"/>
    <w:lvl w:ilvl="0">
      <w:start w:val="1"/>
      <w:numFmt w:val="decimal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lvlText w:val="%4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8" w15:restartNumberingAfterBreak="0">
    <w:nsid w:val="17E0160C"/>
    <w:multiLevelType w:val="multilevel"/>
    <w:tmpl w:val="D27ED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454FD7"/>
    <w:multiLevelType w:val="hybridMultilevel"/>
    <w:tmpl w:val="619047F2"/>
    <w:lvl w:ilvl="0" w:tplc="A246D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6F"/>
    <w:multiLevelType w:val="multilevel"/>
    <w:tmpl w:val="24B8349A"/>
    <w:numStyleLink w:val="AASBBullets"/>
  </w:abstractNum>
  <w:abstractNum w:abstractNumId="11" w15:restartNumberingAfterBreak="0">
    <w:nsid w:val="230125AE"/>
    <w:multiLevelType w:val="hybridMultilevel"/>
    <w:tmpl w:val="97A416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77A58"/>
    <w:multiLevelType w:val="multilevel"/>
    <w:tmpl w:val="07EE96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3" w15:restartNumberingAfterBreak="0">
    <w:nsid w:val="29991E50"/>
    <w:multiLevelType w:val="multilevel"/>
    <w:tmpl w:val="1DF4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EEC6253"/>
    <w:multiLevelType w:val="hybridMultilevel"/>
    <w:tmpl w:val="8F005BEE"/>
    <w:lvl w:ilvl="0" w:tplc="279AC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28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4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2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EA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8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C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0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C1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DA7EF4"/>
    <w:multiLevelType w:val="hybridMultilevel"/>
    <w:tmpl w:val="71A2B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75606"/>
    <w:multiLevelType w:val="multilevel"/>
    <w:tmpl w:val="24B8349A"/>
    <w:numStyleLink w:val="AASBBullets"/>
  </w:abstractNum>
  <w:abstractNum w:abstractNumId="17" w15:restartNumberingAfterBreak="0">
    <w:nsid w:val="42AE4C0D"/>
    <w:multiLevelType w:val="hybridMultilevel"/>
    <w:tmpl w:val="917A7CD6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3563FF"/>
    <w:multiLevelType w:val="multilevel"/>
    <w:tmpl w:val="07EE96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9" w15:restartNumberingAfterBreak="0">
    <w:nsid w:val="45463F9C"/>
    <w:multiLevelType w:val="multilevel"/>
    <w:tmpl w:val="2D9CFF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D67FF"/>
    <w:multiLevelType w:val="multilevel"/>
    <w:tmpl w:val="D27ED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7166260"/>
    <w:multiLevelType w:val="hybridMultilevel"/>
    <w:tmpl w:val="6F408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CA2"/>
    <w:multiLevelType w:val="hybridMultilevel"/>
    <w:tmpl w:val="93E412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C4CC5"/>
    <w:multiLevelType w:val="hybridMultilevel"/>
    <w:tmpl w:val="38FC682C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82434F"/>
    <w:multiLevelType w:val="hybridMultilevel"/>
    <w:tmpl w:val="CF8E3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12F3"/>
    <w:multiLevelType w:val="multilevel"/>
    <w:tmpl w:val="315ABF2C"/>
    <w:styleLink w:val="AASBNumbers"/>
    <w:lvl w:ilvl="0">
      <w:start w:val="1"/>
      <w:numFmt w:val="decimal"/>
      <w:pStyle w:val="NumPlain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26" w15:restartNumberingAfterBreak="0">
    <w:nsid w:val="5AA8259D"/>
    <w:multiLevelType w:val="multilevel"/>
    <w:tmpl w:val="1DF4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00860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184013"/>
    <w:multiLevelType w:val="hybridMultilevel"/>
    <w:tmpl w:val="E236ACA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131F28"/>
    <w:multiLevelType w:val="hybridMultilevel"/>
    <w:tmpl w:val="836648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E43664"/>
    <w:multiLevelType w:val="singleLevel"/>
    <w:tmpl w:val="E1643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247C3F"/>
    <w:multiLevelType w:val="multilevel"/>
    <w:tmpl w:val="9F82E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0"/>
  </w:num>
  <w:num w:numId="3">
    <w:abstractNumId w:val="15"/>
  </w:num>
  <w:num w:numId="4">
    <w:abstractNumId w:val="6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27"/>
  </w:num>
  <w:num w:numId="11">
    <w:abstractNumId w:val="25"/>
  </w:num>
  <w:num w:numId="12">
    <w:abstractNumId w:val="2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3"/>
  </w:num>
  <w:num w:numId="18">
    <w:abstractNumId w:val="28"/>
  </w:num>
  <w:num w:numId="19">
    <w:abstractNumId w:val="17"/>
  </w:num>
  <w:num w:numId="20">
    <w:abstractNumId w:val="23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22"/>
  </w:num>
  <w:num w:numId="27">
    <w:abstractNumId w:val="4"/>
  </w:num>
  <w:num w:numId="28">
    <w:abstractNumId w:val="11"/>
  </w:num>
  <w:num w:numId="29">
    <w:abstractNumId w:val="29"/>
  </w:num>
  <w:num w:numId="30">
    <w:abstractNumId w:val="3"/>
  </w:num>
  <w:num w:numId="31">
    <w:abstractNumId w:val="20"/>
  </w:num>
  <w:num w:numId="32">
    <w:abstractNumId w:val="8"/>
  </w:num>
  <w:num w:numId="33">
    <w:abstractNumId w:val="1"/>
  </w:num>
  <w:num w:numId="34">
    <w:abstractNumId w:val="12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minPsWord" w:val="nigel"/>
    <w:docVar w:name="PsWord" w:val="trish"/>
  </w:docVars>
  <w:rsids>
    <w:rsidRoot w:val="00AF183A"/>
    <w:rsid w:val="00007611"/>
    <w:rsid w:val="00014573"/>
    <w:rsid w:val="0001543B"/>
    <w:rsid w:val="0001561D"/>
    <w:rsid w:val="00021544"/>
    <w:rsid w:val="00037F5B"/>
    <w:rsid w:val="00040B2E"/>
    <w:rsid w:val="0004336F"/>
    <w:rsid w:val="00050657"/>
    <w:rsid w:val="00053F49"/>
    <w:rsid w:val="00065416"/>
    <w:rsid w:val="00071C5B"/>
    <w:rsid w:val="00080143"/>
    <w:rsid w:val="00081620"/>
    <w:rsid w:val="000827D3"/>
    <w:rsid w:val="00083AB8"/>
    <w:rsid w:val="00090E91"/>
    <w:rsid w:val="00092745"/>
    <w:rsid w:val="000A2654"/>
    <w:rsid w:val="000A2819"/>
    <w:rsid w:val="000B02DF"/>
    <w:rsid w:val="000B4FA2"/>
    <w:rsid w:val="000D14A6"/>
    <w:rsid w:val="000D53DF"/>
    <w:rsid w:val="000D665A"/>
    <w:rsid w:val="000D7C9E"/>
    <w:rsid w:val="000E2224"/>
    <w:rsid w:val="0010200D"/>
    <w:rsid w:val="00115B5A"/>
    <w:rsid w:val="00120975"/>
    <w:rsid w:val="001320E7"/>
    <w:rsid w:val="00132B39"/>
    <w:rsid w:val="00132F67"/>
    <w:rsid w:val="00140095"/>
    <w:rsid w:val="00145BDA"/>
    <w:rsid w:val="00151DA0"/>
    <w:rsid w:val="00167147"/>
    <w:rsid w:val="00170DE0"/>
    <w:rsid w:val="00172098"/>
    <w:rsid w:val="0018429C"/>
    <w:rsid w:val="0018476D"/>
    <w:rsid w:val="001947CB"/>
    <w:rsid w:val="00195AA0"/>
    <w:rsid w:val="001A38C6"/>
    <w:rsid w:val="001B273D"/>
    <w:rsid w:val="001B31F2"/>
    <w:rsid w:val="001B7C99"/>
    <w:rsid w:val="001C1A96"/>
    <w:rsid w:val="001D5E79"/>
    <w:rsid w:val="001E59B5"/>
    <w:rsid w:val="00201E99"/>
    <w:rsid w:val="00205B8C"/>
    <w:rsid w:val="0021348B"/>
    <w:rsid w:val="002161D4"/>
    <w:rsid w:val="002172F2"/>
    <w:rsid w:val="0022227F"/>
    <w:rsid w:val="002237F2"/>
    <w:rsid w:val="00230189"/>
    <w:rsid w:val="00276A76"/>
    <w:rsid w:val="0028415A"/>
    <w:rsid w:val="00284D07"/>
    <w:rsid w:val="00285307"/>
    <w:rsid w:val="00296DE8"/>
    <w:rsid w:val="002A561C"/>
    <w:rsid w:val="002B7440"/>
    <w:rsid w:val="002C0F07"/>
    <w:rsid w:val="002D1C92"/>
    <w:rsid w:val="002E4D2D"/>
    <w:rsid w:val="002E7DCA"/>
    <w:rsid w:val="002F333A"/>
    <w:rsid w:val="00312553"/>
    <w:rsid w:val="00325877"/>
    <w:rsid w:val="00331EB5"/>
    <w:rsid w:val="00355858"/>
    <w:rsid w:val="00361E72"/>
    <w:rsid w:val="00364B51"/>
    <w:rsid w:val="00371339"/>
    <w:rsid w:val="00374FF1"/>
    <w:rsid w:val="0037683E"/>
    <w:rsid w:val="00395FEE"/>
    <w:rsid w:val="00396F97"/>
    <w:rsid w:val="003970CA"/>
    <w:rsid w:val="003A16E1"/>
    <w:rsid w:val="003B773F"/>
    <w:rsid w:val="003C221A"/>
    <w:rsid w:val="003C5739"/>
    <w:rsid w:val="003C7398"/>
    <w:rsid w:val="003C7451"/>
    <w:rsid w:val="003D08C5"/>
    <w:rsid w:val="003D2F55"/>
    <w:rsid w:val="003D530C"/>
    <w:rsid w:val="003F4419"/>
    <w:rsid w:val="00404FB0"/>
    <w:rsid w:val="004169BA"/>
    <w:rsid w:val="004178D3"/>
    <w:rsid w:val="004258FC"/>
    <w:rsid w:val="00430D23"/>
    <w:rsid w:val="00436727"/>
    <w:rsid w:val="00440E65"/>
    <w:rsid w:val="00451782"/>
    <w:rsid w:val="00464F72"/>
    <w:rsid w:val="0047206C"/>
    <w:rsid w:val="00482EFE"/>
    <w:rsid w:val="0048306E"/>
    <w:rsid w:val="00486076"/>
    <w:rsid w:val="00495CB9"/>
    <w:rsid w:val="004A1CCF"/>
    <w:rsid w:val="004A1D95"/>
    <w:rsid w:val="004A3BF0"/>
    <w:rsid w:val="004A4808"/>
    <w:rsid w:val="004A508C"/>
    <w:rsid w:val="004B05E9"/>
    <w:rsid w:val="004B4E6F"/>
    <w:rsid w:val="004B7544"/>
    <w:rsid w:val="004B75A5"/>
    <w:rsid w:val="004B7AB8"/>
    <w:rsid w:val="004E055D"/>
    <w:rsid w:val="004E0881"/>
    <w:rsid w:val="004E3CC2"/>
    <w:rsid w:val="004E508E"/>
    <w:rsid w:val="004F4D35"/>
    <w:rsid w:val="00505AF4"/>
    <w:rsid w:val="00511798"/>
    <w:rsid w:val="0054474E"/>
    <w:rsid w:val="00550F7C"/>
    <w:rsid w:val="00564DA1"/>
    <w:rsid w:val="005726B3"/>
    <w:rsid w:val="0057340B"/>
    <w:rsid w:val="005772FA"/>
    <w:rsid w:val="00580184"/>
    <w:rsid w:val="005803A9"/>
    <w:rsid w:val="00582BC2"/>
    <w:rsid w:val="0058730B"/>
    <w:rsid w:val="005961D0"/>
    <w:rsid w:val="005B01A2"/>
    <w:rsid w:val="005C3DB9"/>
    <w:rsid w:val="005C46A8"/>
    <w:rsid w:val="005D0A7A"/>
    <w:rsid w:val="005E09A5"/>
    <w:rsid w:val="005E6C00"/>
    <w:rsid w:val="005F095B"/>
    <w:rsid w:val="005F17B0"/>
    <w:rsid w:val="005F2BC1"/>
    <w:rsid w:val="00604D6F"/>
    <w:rsid w:val="006134EF"/>
    <w:rsid w:val="00613947"/>
    <w:rsid w:val="006139A0"/>
    <w:rsid w:val="006169EC"/>
    <w:rsid w:val="006211FD"/>
    <w:rsid w:val="0063195B"/>
    <w:rsid w:val="0063198D"/>
    <w:rsid w:val="00651DD5"/>
    <w:rsid w:val="0065241E"/>
    <w:rsid w:val="00652741"/>
    <w:rsid w:val="00653607"/>
    <w:rsid w:val="006570A7"/>
    <w:rsid w:val="00667302"/>
    <w:rsid w:val="006720E3"/>
    <w:rsid w:val="00682B4A"/>
    <w:rsid w:val="006858FD"/>
    <w:rsid w:val="00691554"/>
    <w:rsid w:val="00694BCF"/>
    <w:rsid w:val="006A1562"/>
    <w:rsid w:val="006A4E4C"/>
    <w:rsid w:val="006A5F08"/>
    <w:rsid w:val="006A7AD7"/>
    <w:rsid w:val="006C053B"/>
    <w:rsid w:val="006C6478"/>
    <w:rsid w:val="006D100F"/>
    <w:rsid w:val="00700F82"/>
    <w:rsid w:val="0070416F"/>
    <w:rsid w:val="00716CFB"/>
    <w:rsid w:val="007232ED"/>
    <w:rsid w:val="00723536"/>
    <w:rsid w:val="00736CF8"/>
    <w:rsid w:val="00737BE4"/>
    <w:rsid w:val="00746E89"/>
    <w:rsid w:val="00753173"/>
    <w:rsid w:val="00755147"/>
    <w:rsid w:val="0076124C"/>
    <w:rsid w:val="0076608F"/>
    <w:rsid w:val="007772E4"/>
    <w:rsid w:val="00781D4E"/>
    <w:rsid w:val="00786CAD"/>
    <w:rsid w:val="00791BE7"/>
    <w:rsid w:val="00793693"/>
    <w:rsid w:val="00793F7E"/>
    <w:rsid w:val="007A0B6A"/>
    <w:rsid w:val="007B203A"/>
    <w:rsid w:val="007C3E6F"/>
    <w:rsid w:val="007C485E"/>
    <w:rsid w:val="007D363F"/>
    <w:rsid w:val="007D440A"/>
    <w:rsid w:val="007D64A4"/>
    <w:rsid w:val="007D7AF7"/>
    <w:rsid w:val="007E5029"/>
    <w:rsid w:val="007F1416"/>
    <w:rsid w:val="00804BFA"/>
    <w:rsid w:val="00806E51"/>
    <w:rsid w:val="00813985"/>
    <w:rsid w:val="00831B3C"/>
    <w:rsid w:val="0083598A"/>
    <w:rsid w:val="00840123"/>
    <w:rsid w:val="0084293C"/>
    <w:rsid w:val="00844E0E"/>
    <w:rsid w:val="00853F5F"/>
    <w:rsid w:val="00877158"/>
    <w:rsid w:val="00886F01"/>
    <w:rsid w:val="00894D66"/>
    <w:rsid w:val="008A04CC"/>
    <w:rsid w:val="008B7EF8"/>
    <w:rsid w:val="008C0A54"/>
    <w:rsid w:val="008C114D"/>
    <w:rsid w:val="008C17F9"/>
    <w:rsid w:val="008C3AED"/>
    <w:rsid w:val="008C3D29"/>
    <w:rsid w:val="008C53BF"/>
    <w:rsid w:val="008D3B98"/>
    <w:rsid w:val="008D499B"/>
    <w:rsid w:val="008D6B3A"/>
    <w:rsid w:val="008E422F"/>
    <w:rsid w:val="008F0B96"/>
    <w:rsid w:val="008F19B4"/>
    <w:rsid w:val="008F329E"/>
    <w:rsid w:val="009059F3"/>
    <w:rsid w:val="00905E24"/>
    <w:rsid w:val="009062C1"/>
    <w:rsid w:val="00913D3E"/>
    <w:rsid w:val="00914E33"/>
    <w:rsid w:val="009369D1"/>
    <w:rsid w:val="00941EDF"/>
    <w:rsid w:val="00942E9D"/>
    <w:rsid w:val="00945571"/>
    <w:rsid w:val="0094632C"/>
    <w:rsid w:val="00951ADA"/>
    <w:rsid w:val="0095531B"/>
    <w:rsid w:val="00955EB9"/>
    <w:rsid w:val="009572D4"/>
    <w:rsid w:val="009606E7"/>
    <w:rsid w:val="00960A24"/>
    <w:rsid w:val="00987A96"/>
    <w:rsid w:val="009A1DC8"/>
    <w:rsid w:val="009A2C49"/>
    <w:rsid w:val="009A3D94"/>
    <w:rsid w:val="009B7A97"/>
    <w:rsid w:val="009C5CA0"/>
    <w:rsid w:val="009D1F55"/>
    <w:rsid w:val="009D6ECF"/>
    <w:rsid w:val="009E4D3D"/>
    <w:rsid w:val="009E4FCC"/>
    <w:rsid w:val="00A0047F"/>
    <w:rsid w:val="00A112A1"/>
    <w:rsid w:val="00A11849"/>
    <w:rsid w:val="00A148FE"/>
    <w:rsid w:val="00A2334F"/>
    <w:rsid w:val="00A3135C"/>
    <w:rsid w:val="00A32ACB"/>
    <w:rsid w:val="00A32E48"/>
    <w:rsid w:val="00A36278"/>
    <w:rsid w:val="00A37B17"/>
    <w:rsid w:val="00A47E26"/>
    <w:rsid w:val="00A54F7F"/>
    <w:rsid w:val="00A6508B"/>
    <w:rsid w:val="00A67DA6"/>
    <w:rsid w:val="00A67DCA"/>
    <w:rsid w:val="00A85A4B"/>
    <w:rsid w:val="00A92821"/>
    <w:rsid w:val="00A92C57"/>
    <w:rsid w:val="00A943F7"/>
    <w:rsid w:val="00A94676"/>
    <w:rsid w:val="00AA09BC"/>
    <w:rsid w:val="00AA2244"/>
    <w:rsid w:val="00AC071D"/>
    <w:rsid w:val="00AC20D4"/>
    <w:rsid w:val="00AC2354"/>
    <w:rsid w:val="00AD3230"/>
    <w:rsid w:val="00AF183A"/>
    <w:rsid w:val="00AF6679"/>
    <w:rsid w:val="00AF7230"/>
    <w:rsid w:val="00B0757F"/>
    <w:rsid w:val="00B10848"/>
    <w:rsid w:val="00B11049"/>
    <w:rsid w:val="00B341E3"/>
    <w:rsid w:val="00B3620B"/>
    <w:rsid w:val="00B45182"/>
    <w:rsid w:val="00B45883"/>
    <w:rsid w:val="00B50BFB"/>
    <w:rsid w:val="00B60E61"/>
    <w:rsid w:val="00B61332"/>
    <w:rsid w:val="00B635A5"/>
    <w:rsid w:val="00B670BC"/>
    <w:rsid w:val="00B71BE1"/>
    <w:rsid w:val="00B80844"/>
    <w:rsid w:val="00B82865"/>
    <w:rsid w:val="00BA16E3"/>
    <w:rsid w:val="00BB169B"/>
    <w:rsid w:val="00BC3B48"/>
    <w:rsid w:val="00BE590E"/>
    <w:rsid w:val="00BE75A5"/>
    <w:rsid w:val="00BF1484"/>
    <w:rsid w:val="00BF5EAA"/>
    <w:rsid w:val="00BF7295"/>
    <w:rsid w:val="00C035FD"/>
    <w:rsid w:val="00C172B5"/>
    <w:rsid w:val="00C21AE4"/>
    <w:rsid w:val="00C25A6D"/>
    <w:rsid w:val="00C31F6F"/>
    <w:rsid w:val="00C356A3"/>
    <w:rsid w:val="00C35907"/>
    <w:rsid w:val="00C37F91"/>
    <w:rsid w:val="00C43801"/>
    <w:rsid w:val="00C460F7"/>
    <w:rsid w:val="00C46417"/>
    <w:rsid w:val="00C52F56"/>
    <w:rsid w:val="00C7024B"/>
    <w:rsid w:val="00C76883"/>
    <w:rsid w:val="00C964DF"/>
    <w:rsid w:val="00C96AA8"/>
    <w:rsid w:val="00CA5333"/>
    <w:rsid w:val="00CA7397"/>
    <w:rsid w:val="00CA7ACA"/>
    <w:rsid w:val="00CD217A"/>
    <w:rsid w:val="00CD24F9"/>
    <w:rsid w:val="00CD7A38"/>
    <w:rsid w:val="00CE0B59"/>
    <w:rsid w:val="00CE1697"/>
    <w:rsid w:val="00CE2E80"/>
    <w:rsid w:val="00D04DAE"/>
    <w:rsid w:val="00D0629E"/>
    <w:rsid w:val="00D22031"/>
    <w:rsid w:val="00D26766"/>
    <w:rsid w:val="00D27DAA"/>
    <w:rsid w:val="00D5133B"/>
    <w:rsid w:val="00D5147B"/>
    <w:rsid w:val="00D567D9"/>
    <w:rsid w:val="00D61705"/>
    <w:rsid w:val="00D660F6"/>
    <w:rsid w:val="00D704BD"/>
    <w:rsid w:val="00D7341E"/>
    <w:rsid w:val="00D736D2"/>
    <w:rsid w:val="00D8055E"/>
    <w:rsid w:val="00D80822"/>
    <w:rsid w:val="00D82E34"/>
    <w:rsid w:val="00D86703"/>
    <w:rsid w:val="00D87FC7"/>
    <w:rsid w:val="00D9661C"/>
    <w:rsid w:val="00DB0F0F"/>
    <w:rsid w:val="00DB705B"/>
    <w:rsid w:val="00DB7649"/>
    <w:rsid w:val="00DC31D5"/>
    <w:rsid w:val="00DD7312"/>
    <w:rsid w:val="00E01939"/>
    <w:rsid w:val="00E05549"/>
    <w:rsid w:val="00E24191"/>
    <w:rsid w:val="00E333AC"/>
    <w:rsid w:val="00E34C94"/>
    <w:rsid w:val="00E43E4F"/>
    <w:rsid w:val="00E47ED5"/>
    <w:rsid w:val="00E503AE"/>
    <w:rsid w:val="00E65C9C"/>
    <w:rsid w:val="00E712DE"/>
    <w:rsid w:val="00E73496"/>
    <w:rsid w:val="00E80417"/>
    <w:rsid w:val="00E81530"/>
    <w:rsid w:val="00E81D38"/>
    <w:rsid w:val="00E87401"/>
    <w:rsid w:val="00E90A55"/>
    <w:rsid w:val="00E95DF1"/>
    <w:rsid w:val="00E967A9"/>
    <w:rsid w:val="00EA115E"/>
    <w:rsid w:val="00EA3809"/>
    <w:rsid w:val="00EB14F2"/>
    <w:rsid w:val="00ED1904"/>
    <w:rsid w:val="00ED738F"/>
    <w:rsid w:val="00EF1A9F"/>
    <w:rsid w:val="00EF3645"/>
    <w:rsid w:val="00EF6CE3"/>
    <w:rsid w:val="00F00657"/>
    <w:rsid w:val="00F11763"/>
    <w:rsid w:val="00F13498"/>
    <w:rsid w:val="00F20F90"/>
    <w:rsid w:val="00F25C28"/>
    <w:rsid w:val="00F60A1A"/>
    <w:rsid w:val="00F81685"/>
    <w:rsid w:val="00F822F7"/>
    <w:rsid w:val="00F85545"/>
    <w:rsid w:val="00FA0540"/>
    <w:rsid w:val="00FA0CDB"/>
    <w:rsid w:val="00FC1FEE"/>
    <w:rsid w:val="00FC524B"/>
    <w:rsid w:val="00FD4DE4"/>
    <w:rsid w:val="00FE31D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2267E-4E04-448F-8A87-7E98F39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5" w:unhideWhenUsed="1"/>
    <w:lsdException w:name="index 2" w:semiHidden="1" w:uiPriority="5" w:unhideWhenUsed="1"/>
    <w:lsdException w:name="index 3" w:semiHidden="1" w:uiPriority="5" w:unhideWhenUsed="1"/>
    <w:lsdException w:name="index 4" w:semiHidden="1" w:uiPriority="5" w:unhideWhenUsed="1"/>
    <w:lsdException w:name="index 5" w:semiHidden="1" w:uiPriority="5" w:unhideWhenUsed="1"/>
    <w:lsdException w:name="index 6" w:semiHidden="1" w:uiPriority="5" w:unhideWhenUsed="1"/>
    <w:lsdException w:name="index 7" w:semiHidden="1" w:uiPriority="5" w:unhideWhenUsed="1"/>
    <w:lsdException w:name="index 8" w:semiHidden="1" w:uiPriority="5" w:unhideWhenUsed="1"/>
    <w:lsdException w:name="index 9" w:semiHidden="1" w:uiPriority="5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6" w:unhideWhenUsed="1"/>
    <w:lsdException w:name="footnote text" w:semiHidden="1" w:unhideWhenUsed="1"/>
    <w:lsdException w:name="annotation text" w:semiHidden="1" w:uiPriority="5" w:unhideWhenUsed="1"/>
    <w:lsdException w:name="header" w:semiHidden="1" w:unhideWhenUsed="1"/>
    <w:lsdException w:name="footer" w:semiHidden="1" w:unhideWhenUsed="1"/>
    <w:lsdException w:name="index heading" w:semiHidden="1" w:uiPriority="5" w:unhideWhenUsed="1"/>
    <w:lsdException w:name="caption" w:semiHidden="1" w:uiPriority="5" w:unhideWhenUsed="1" w:qFormat="1"/>
    <w:lsdException w:name="table of figures" w:semiHidden="1" w:uiPriority="5" w:unhideWhenUsed="1"/>
    <w:lsdException w:name="envelope address" w:semiHidden="1" w:uiPriority="5" w:unhideWhenUsed="1"/>
    <w:lsdException w:name="envelope return" w:semiHidden="1" w:uiPriority="5" w:unhideWhenUsed="1"/>
    <w:lsdException w:name="footnote reference" w:semiHidden="1" w:uiPriority="5" w:unhideWhenUsed="1"/>
    <w:lsdException w:name="annotation reference" w:semiHidden="1" w:uiPriority="5" w:unhideWhenUsed="1"/>
    <w:lsdException w:name="line number" w:semiHidden="1" w:uiPriority="5" w:unhideWhenUsed="1"/>
    <w:lsdException w:name="page number" w:semiHidden="1" w:uiPriority="5" w:unhideWhenUsed="1"/>
    <w:lsdException w:name="endnote reference" w:semiHidden="1" w:uiPriority="5" w:unhideWhenUsed="1"/>
    <w:lsdException w:name="endnote text" w:semiHidden="1" w:uiPriority="5" w:unhideWhenUsed="1"/>
    <w:lsdException w:name="table of authorities" w:semiHidden="1" w:uiPriority="5" w:unhideWhenUsed="1"/>
    <w:lsdException w:name="macro" w:semiHidden="1" w:uiPriority="5" w:unhideWhenUsed="1"/>
    <w:lsdException w:name="toa heading" w:semiHidden="1" w:uiPriority="5" w:unhideWhenUsed="1"/>
    <w:lsdException w:name="List" w:semiHidden="1" w:uiPriority="5" w:unhideWhenUsed="1"/>
    <w:lsdException w:name="List Bullet" w:semiHidden="1" w:uiPriority="5" w:unhideWhenUsed="1"/>
    <w:lsdException w:name="List Number" w:semiHidden="1" w:uiPriority="5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6" w:qFormat="1"/>
    <w:lsdException w:name="Closing" w:semiHidden="1" w:uiPriority="6" w:unhideWhenUsed="1"/>
    <w:lsdException w:name="Signature" w:semiHidden="1" w:uiPriority="6" w:unhideWhenUsed="1"/>
    <w:lsdException w:name="Default Paragraph Font" w:semiHidden="1" w:unhideWhenUsed="1"/>
    <w:lsdException w:name="Body Text" w:semiHidden="1" w:uiPriority="6" w:unhideWhenUsed="1"/>
    <w:lsdException w:name="Body Text Indent" w:semiHidden="1" w:uiPriority="6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semiHidden="1" w:uiPriority="5" w:unhideWhenUsed="1"/>
    <w:lsdException w:name="Message Header" w:semiHidden="1" w:uiPriority="5" w:unhideWhenUsed="1"/>
    <w:lsdException w:name="Subtitle" w:uiPriority="6"/>
    <w:lsdException w:name="Salutation" w:semiHidden="1" w:uiPriority="6"/>
    <w:lsdException w:name="Date" w:semiHidden="1" w:uiPriority="6"/>
    <w:lsdException w:name="Body Text First Indent" w:semiHidden="1" w:uiPriority="6"/>
    <w:lsdException w:name="Body Text First Indent 2" w:semiHidden="1" w:uiPriority="6" w:unhideWhenUsed="1"/>
    <w:lsdException w:name="Note Heading" w:semiHidden="1" w:uiPriority="6" w:unhideWhenUsed="1"/>
    <w:lsdException w:name="Body Text 2" w:semiHidden="1" w:uiPriority="6" w:unhideWhenUsed="1"/>
    <w:lsdException w:name="Body Text 3" w:semiHidden="1" w:uiPriority="6" w:unhideWhenUsed="1"/>
    <w:lsdException w:name="Body Text Indent 2" w:semiHidden="1" w:uiPriority="6" w:unhideWhenUsed="1"/>
    <w:lsdException w:name="Body Text Indent 3" w:semiHidden="1" w:uiPriority="6" w:unhideWhenUsed="1"/>
    <w:lsdException w:name="Block Text" w:semiHidden="1" w:uiPriority="6" w:unhideWhenUsed="1"/>
    <w:lsdException w:name="Hyperlink" w:semiHidden="1" w:uiPriority="99" w:unhideWhenUsed="1"/>
    <w:lsdException w:name="FollowedHyperlink" w:semiHidden="1" w:uiPriority="5" w:unhideWhenUsed="1"/>
    <w:lsdException w:name="Strong" w:uiPriority="6"/>
    <w:lsdException w:name="Emphasis" w:uiPriority="6"/>
    <w:lsdException w:name="Document Map" w:semiHidden="1" w:uiPriority="6" w:unhideWhenUsed="1"/>
    <w:lsdException w:name="Plain Text" w:semiHidden="1" w:uiPriority="6" w:unhideWhenUsed="1"/>
    <w:lsdException w:name="E-mail Signature" w:semiHidden="1" w:uiPriority="6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6" w:unhideWhenUsed="1"/>
    <w:lsdException w:name="HTML Address" w:semiHidden="1" w:uiPriority="6" w:unhideWhenUsed="1"/>
    <w:lsdException w:name="HTML Cite" w:semiHidden="1" w:uiPriority="6" w:unhideWhenUsed="1"/>
    <w:lsdException w:name="HTML Code" w:semiHidden="1" w:uiPriority="6" w:unhideWhenUsed="1"/>
    <w:lsdException w:name="HTML Definition" w:semiHidden="1" w:uiPriority="6" w:unhideWhenUsed="1"/>
    <w:lsdException w:name="HTML Keyboard" w:semiHidden="1" w:uiPriority="6" w:unhideWhenUsed="1"/>
    <w:lsdException w:name="HTML Preformatted" w:semiHidden="1" w:uiPriority="6" w:unhideWhenUsed="1"/>
    <w:lsdException w:name="HTML Sample" w:semiHidden="1" w:uiPriority="6" w:unhideWhenUsed="1"/>
    <w:lsdException w:name="HTML Typewriter" w:semiHidden="1" w:uiPriority="6" w:unhideWhenUsed="1"/>
    <w:lsdException w:name="HTML Variable" w:semiHidden="1" w:uiPriority="6" w:unhideWhenUsed="1"/>
    <w:lsdException w:name="Normal Table" w:semiHidden="1" w:unhideWhenUsed="1"/>
    <w:lsdException w:name="annotation subject" w:semiHidden="1" w:uiPriority="5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6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05E9"/>
    <w:rPr>
      <w:sz w:val="24"/>
      <w:lang w:eastAsia="en-US"/>
    </w:rPr>
  </w:style>
  <w:style w:type="paragraph" w:styleId="Heading1">
    <w:name w:val="heading 1"/>
    <w:basedOn w:val="Normal"/>
    <w:next w:val="Normal"/>
    <w:uiPriority w:val="1"/>
    <w:qFormat/>
    <w:rsid w:val="00037F5B"/>
    <w:pPr>
      <w:keepNext/>
      <w:spacing w:after="240"/>
      <w:outlineLvl w:val="0"/>
    </w:pPr>
    <w:rPr>
      <w:b/>
    </w:rPr>
  </w:style>
  <w:style w:type="paragraph" w:styleId="Heading2">
    <w:name w:val="heading 2"/>
    <w:basedOn w:val="Heading1"/>
    <w:next w:val="Normal"/>
    <w:uiPriority w:val="1"/>
    <w:qFormat/>
    <w:rsid w:val="00037F5B"/>
    <w:pPr>
      <w:outlineLvl w:val="1"/>
    </w:pPr>
    <w:rPr>
      <w:b w:val="0"/>
      <w:u w:val="single"/>
    </w:rPr>
  </w:style>
  <w:style w:type="paragraph" w:styleId="Heading3">
    <w:name w:val="heading 3"/>
    <w:basedOn w:val="Heading2"/>
    <w:next w:val="Normal"/>
    <w:uiPriority w:val="1"/>
    <w:qFormat/>
    <w:rsid w:val="00037F5B"/>
    <w:pPr>
      <w:outlineLvl w:val="2"/>
    </w:pPr>
    <w:rPr>
      <w:i/>
      <w:u w:val="none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D1904"/>
    <w:pPr>
      <w:ind w:left="709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D1904"/>
    <w:rPr>
      <w:rFonts w:eastAsiaTheme="majorEastAsia" w:cstheme="majorBidi"/>
      <w:bCs/>
      <w:i/>
      <w:iCs/>
      <w:sz w:val="24"/>
      <w:lang w:eastAsia="en-US"/>
    </w:rPr>
  </w:style>
  <w:style w:type="paragraph" w:customStyle="1" w:styleId="NumPlain1">
    <w:name w:val="Num Plain1"/>
    <w:basedOn w:val="Normal"/>
    <w:uiPriority w:val="2"/>
    <w:qFormat/>
    <w:rsid w:val="00D86703"/>
    <w:pPr>
      <w:numPr>
        <w:numId w:val="11"/>
      </w:numPr>
      <w:spacing w:after="240"/>
    </w:pPr>
  </w:style>
  <w:style w:type="paragraph" w:customStyle="1" w:styleId="NumPlain2">
    <w:name w:val="Num Plain2"/>
    <w:basedOn w:val="NumPlain1"/>
    <w:uiPriority w:val="2"/>
    <w:qFormat/>
    <w:rsid w:val="00D86703"/>
    <w:pPr>
      <w:numPr>
        <w:ilvl w:val="1"/>
      </w:numPr>
    </w:pPr>
  </w:style>
  <w:style w:type="paragraph" w:customStyle="1" w:styleId="NumPlain3">
    <w:name w:val="Num Plain3"/>
    <w:basedOn w:val="NumPlain2"/>
    <w:uiPriority w:val="2"/>
    <w:qFormat/>
    <w:rsid w:val="00D86703"/>
    <w:pPr>
      <w:numPr>
        <w:ilvl w:val="2"/>
      </w:numPr>
    </w:pPr>
  </w:style>
  <w:style w:type="paragraph" w:customStyle="1" w:styleId="NoNumPlain1">
    <w:name w:val="NoNum Plain1"/>
    <w:basedOn w:val="Normal"/>
    <w:uiPriority w:val="2"/>
    <w:qFormat/>
    <w:rsid w:val="00ED1904"/>
    <w:pPr>
      <w:spacing w:after="240"/>
    </w:pPr>
  </w:style>
  <w:style w:type="paragraph" w:customStyle="1" w:styleId="NoNumPlain2">
    <w:name w:val="NoNum Plain2"/>
    <w:basedOn w:val="NoNumPlain1"/>
    <w:uiPriority w:val="2"/>
    <w:qFormat/>
    <w:rsid w:val="00ED1904"/>
    <w:pPr>
      <w:ind w:left="709"/>
    </w:pPr>
  </w:style>
  <w:style w:type="paragraph" w:styleId="FootnoteText">
    <w:name w:val="footnote text"/>
    <w:basedOn w:val="Normal"/>
    <w:uiPriority w:val="5"/>
    <w:semiHidden/>
    <w:pPr>
      <w:ind w:left="720" w:hanging="720"/>
    </w:pPr>
    <w:rPr>
      <w:sz w:val="20"/>
    </w:rPr>
  </w:style>
  <w:style w:type="paragraph" w:customStyle="1" w:styleId="NoNumPlain3">
    <w:name w:val="NoNum Plain3"/>
    <w:basedOn w:val="NoNumPlain2"/>
    <w:uiPriority w:val="2"/>
    <w:qFormat/>
    <w:rsid w:val="004178D3"/>
    <w:pPr>
      <w:ind w:left="1418"/>
    </w:pPr>
  </w:style>
  <w:style w:type="paragraph" w:styleId="Header">
    <w:name w:val="header"/>
    <w:basedOn w:val="Normal"/>
    <w:uiPriority w:val="5"/>
    <w:rsid w:val="00ED1904"/>
    <w:pPr>
      <w:tabs>
        <w:tab w:val="center" w:pos="4536"/>
        <w:tab w:val="right" w:pos="9072"/>
      </w:tabs>
    </w:pPr>
    <w:rPr>
      <w:sz w:val="20"/>
    </w:rPr>
  </w:style>
  <w:style w:type="paragraph" w:styleId="Footer">
    <w:name w:val="footer"/>
    <w:basedOn w:val="Normal"/>
    <w:uiPriority w:val="5"/>
    <w:rsid w:val="00ED1904"/>
    <w:pPr>
      <w:tabs>
        <w:tab w:val="center" w:pos="4536"/>
        <w:tab w:val="right" w:pos="9072"/>
      </w:tabs>
    </w:pPr>
    <w:rPr>
      <w:sz w:val="20"/>
    </w:rPr>
  </w:style>
  <w:style w:type="paragraph" w:customStyle="1" w:styleId="Bullet1">
    <w:name w:val="Bullet1"/>
    <w:basedOn w:val="Normal"/>
    <w:uiPriority w:val="4"/>
    <w:qFormat/>
    <w:rsid w:val="00D86703"/>
    <w:pPr>
      <w:numPr>
        <w:numId w:val="15"/>
      </w:numPr>
      <w:spacing w:after="240"/>
    </w:pPr>
  </w:style>
  <w:style w:type="paragraph" w:customStyle="1" w:styleId="Bullet2">
    <w:name w:val="Bullet2"/>
    <w:basedOn w:val="Bullet1"/>
    <w:uiPriority w:val="4"/>
    <w:qFormat/>
    <w:rsid w:val="00D86703"/>
    <w:pPr>
      <w:numPr>
        <w:ilvl w:val="1"/>
      </w:numPr>
    </w:pPr>
  </w:style>
  <w:style w:type="paragraph" w:customStyle="1" w:styleId="Bullet3">
    <w:name w:val="Bullet3"/>
    <w:basedOn w:val="Bullet2"/>
    <w:uiPriority w:val="4"/>
    <w:qFormat/>
    <w:rsid w:val="00D86703"/>
    <w:pPr>
      <w:numPr>
        <w:ilvl w:val="2"/>
      </w:numPr>
    </w:pPr>
  </w:style>
  <w:style w:type="numbering" w:customStyle="1" w:styleId="AASBNumbers">
    <w:name w:val="AASB Numbers"/>
    <w:uiPriority w:val="99"/>
    <w:rsid w:val="004178D3"/>
    <w:pPr>
      <w:numPr>
        <w:numId w:val="11"/>
      </w:numPr>
    </w:pPr>
  </w:style>
  <w:style w:type="numbering" w:customStyle="1" w:styleId="AASBBullets">
    <w:name w:val="AASB Bullets"/>
    <w:uiPriority w:val="99"/>
    <w:rsid w:val="00404FB0"/>
    <w:pPr>
      <w:numPr>
        <w:numId w:val="12"/>
      </w:numPr>
    </w:pPr>
  </w:style>
  <w:style w:type="paragraph" w:customStyle="1" w:styleId="TableHeading">
    <w:name w:val="TableHeading"/>
    <w:basedOn w:val="Normal"/>
    <w:uiPriority w:val="5"/>
    <w:qFormat/>
    <w:rsid w:val="002B7440"/>
    <w:pPr>
      <w:spacing w:before="60" w:after="60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2B7440"/>
    <w:pPr>
      <w:spacing w:before="60" w:after="60"/>
    </w:pPr>
    <w:rPr>
      <w:szCs w:val="24"/>
      <w:lang w:eastAsia="en-AU"/>
    </w:rPr>
  </w:style>
  <w:style w:type="paragraph" w:customStyle="1" w:styleId="NoNum1KeepNext">
    <w:name w:val="NoNum1 KeepNext"/>
    <w:basedOn w:val="NoNumPlain1"/>
    <w:uiPriority w:val="1"/>
    <w:qFormat/>
    <w:rsid w:val="00840123"/>
    <w:pPr>
      <w:keepNext/>
    </w:pPr>
  </w:style>
  <w:style w:type="paragraph" w:styleId="ListParagraph">
    <w:name w:val="List Paragraph"/>
    <w:basedOn w:val="Normal"/>
    <w:uiPriority w:val="34"/>
    <w:qFormat/>
    <w:rsid w:val="00404FB0"/>
    <w:pPr>
      <w:ind w:left="720"/>
      <w:contextualSpacing/>
    </w:pPr>
  </w:style>
  <w:style w:type="paragraph" w:customStyle="1" w:styleId="TableCaption">
    <w:name w:val="TableCaption"/>
    <w:basedOn w:val="Normal"/>
    <w:next w:val="Normal"/>
    <w:uiPriority w:val="5"/>
    <w:qFormat/>
    <w:rsid w:val="006A1562"/>
    <w:pPr>
      <w:keepNext/>
      <w:spacing w:after="120"/>
    </w:pPr>
    <w:rPr>
      <w:b/>
    </w:rPr>
  </w:style>
  <w:style w:type="paragraph" w:styleId="NormalWeb">
    <w:name w:val="Normal (Web)"/>
    <w:basedOn w:val="Normal"/>
    <w:uiPriority w:val="99"/>
    <w:semiHidden/>
    <w:rsid w:val="00804BFA"/>
    <w:rPr>
      <w:szCs w:val="24"/>
    </w:rPr>
  </w:style>
  <w:style w:type="paragraph" w:customStyle="1" w:styleId="NoNumBold1">
    <w:name w:val="NoNum Bold1"/>
    <w:basedOn w:val="NoNumPlain1"/>
    <w:uiPriority w:val="3"/>
    <w:qFormat/>
    <w:rsid w:val="004B05E9"/>
    <w:rPr>
      <w:b/>
    </w:rPr>
  </w:style>
  <w:style w:type="paragraph" w:customStyle="1" w:styleId="NoNumBold2">
    <w:name w:val="NoNum Bold2"/>
    <w:basedOn w:val="NoNumPlain2"/>
    <w:uiPriority w:val="3"/>
    <w:qFormat/>
    <w:rsid w:val="004B05E9"/>
    <w:rPr>
      <w:b/>
    </w:rPr>
  </w:style>
  <w:style w:type="paragraph" w:customStyle="1" w:styleId="NoNumBold3">
    <w:name w:val="NoNum Bold3"/>
    <w:basedOn w:val="NoNumPlain3"/>
    <w:uiPriority w:val="3"/>
    <w:qFormat/>
    <w:rsid w:val="004B05E9"/>
    <w:rPr>
      <w:b/>
    </w:rPr>
  </w:style>
  <w:style w:type="paragraph" w:customStyle="1" w:styleId="NumBold1">
    <w:name w:val="Num Bold1"/>
    <w:basedOn w:val="NumPlain1"/>
    <w:uiPriority w:val="3"/>
    <w:qFormat/>
    <w:rsid w:val="004B05E9"/>
    <w:rPr>
      <w:b/>
    </w:rPr>
  </w:style>
  <w:style w:type="paragraph" w:customStyle="1" w:styleId="NumBold2">
    <w:name w:val="Num Bold2"/>
    <w:basedOn w:val="NumPlain2"/>
    <w:uiPriority w:val="3"/>
    <w:qFormat/>
    <w:rsid w:val="004B05E9"/>
    <w:rPr>
      <w:b/>
    </w:rPr>
  </w:style>
  <w:style w:type="paragraph" w:customStyle="1" w:styleId="NumBold3">
    <w:name w:val="Num Bold3"/>
    <w:basedOn w:val="NumPlain3"/>
    <w:uiPriority w:val="3"/>
    <w:qFormat/>
    <w:rsid w:val="004B05E9"/>
    <w:rPr>
      <w:b/>
    </w:rPr>
  </w:style>
  <w:style w:type="paragraph" w:styleId="Title">
    <w:name w:val="Title"/>
    <w:basedOn w:val="Normal"/>
    <w:next w:val="Normal"/>
    <w:link w:val="TitleChar"/>
    <w:uiPriority w:val="4"/>
    <w:qFormat/>
    <w:rsid w:val="004B05E9"/>
    <w:pPr>
      <w:keepNext/>
      <w:spacing w:after="240"/>
    </w:pPr>
    <w:rPr>
      <w:rFonts w:eastAsiaTheme="majorEastAsia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4B05E9"/>
    <w:rPr>
      <w:rFonts w:eastAsiaTheme="majorEastAsia" w:cstheme="majorBidi"/>
      <w:b/>
      <w:sz w:val="28"/>
      <w:szCs w:val="52"/>
      <w:lang w:eastAsia="en-US"/>
    </w:rPr>
  </w:style>
  <w:style w:type="character" w:styleId="Hyperlink">
    <w:name w:val="Hyperlink"/>
    <w:basedOn w:val="DefaultParagraphFont"/>
    <w:uiPriority w:val="99"/>
    <w:unhideWhenUsed/>
    <w:rsid w:val="00E47E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6"/>
    <w:semiHidden/>
    <w:unhideWhenUsed/>
    <w:rsid w:val="00230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6"/>
    <w:semiHidden/>
    <w:rsid w:val="0023018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95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5"/>
    <w:semiHidden/>
    <w:unhideWhenUsed/>
    <w:rsid w:val="001A3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1A38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1A38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5"/>
    <w:semiHidden/>
    <w:unhideWhenUsed/>
    <w:rsid w:val="001A3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5"/>
    <w:semiHidden/>
    <w:rsid w:val="001A38C6"/>
    <w:rPr>
      <w:b/>
      <w:bCs/>
      <w:lang w:eastAsia="en-US"/>
    </w:rPr>
  </w:style>
  <w:style w:type="paragraph" w:styleId="Revision">
    <w:name w:val="Revision"/>
    <w:hidden/>
    <w:uiPriority w:val="99"/>
    <w:semiHidden/>
    <w:rsid w:val="001A38C6"/>
    <w:rPr>
      <w:sz w:val="24"/>
      <w:lang w:eastAsia="en-US"/>
    </w:rPr>
  </w:style>
  <w:style w:type="character" w:styleId="FootnoteReference">
    <w:name w:val="footnote reference"/>
    <w:basedOn w:val="DefaultParagraphFont"/>
    <w:uiPriority w:val="5"/>
    <w:semiHidden/>
    <w:unhideWhenUsed/>
    <w:rsid w:val="007B2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16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0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b.gov.au/admin/file/content102/c3/AASB-AUASB_Strategy_2017-2021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sb.gov.au/Research-Centre/Research-Forum-2017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sb.gov.au/Research-Centre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ph.gov.au/Parliamentary_Business/Committees/Joint/Foreign_Affairs_Defence_and_Trade/ModernSlavery/Final_repo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lliar@aasb.gov.a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7C7A-D7BD-4C46-BD51-21805F1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Productivity Commission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Helliar, Christine</dc:creator>
  <cp:lastModifiedBy>Admin</cp:lastModifiedBy>
  <cp:revision>2</cp:revision>
  <cp:lastPrinted>2011-02-07T05:31:00Z</cp:lastPrinted>
  <dcterms:created xsi:type="dcterms:W3CDTF">2018-05-03T05:32:00Z</dcterms:created>
  <dcterms:modified xsi:type="dcterms:W3CDTF">2018-05-03T05:32:00Z</dcterms:modified>
</cp:coreProperties>
</file>